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8B9E" w14:textId="0ED93E55" w:rsidR="00977C0E" w:rsidRDefault="00977C0E" w:rsidP="00F76D35">
      <w:pPr>
        <w:jc w:val="center"/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"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IVème journées </w:t>
      </w:r>
      <w:proofErr w:type="spellStart"/>
      <w:r>
        <w:rPr>
          <w:rFonts w:ascii="Arial" w:hAnsi="Arial" w:cs="Arial"/>
          <w:i/>
          <w:iCs/>
          <w:color w:val="000000"/>
          <w:shd w:val="clear" w:color="auto" w:fill="FFFFFF"/>
        </w:rPr>
        <w:t>Cartotête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: "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Les dimensions sociales de la cartographie cognitive</w:t>
      </w:r>
      <w:r>
        <w:rPr>
          <w:rFonts w:ascii="Arial" w:hAnsi="Arial" w:cs="Arial"/>
          <w:color w:val="000000"/>
          <w:shd w:val="clear" w:color="auto" w:fill="FFFFFF"/>
        </w:rPr>
        <w:t>"</w:t>
      </w:r>
    </w:p>
    <w:p w14:paraId="5128F9D4" w14:textId="334E3A85" w:rsidR="00F76D35" w:rsidRDefault="00F76D35" w:rsidP="00F76D35">
      <w:pPr>
        <w:jc w:val="center"/>
      </w:pPr>
      <w:r>
        <w:t>Appe</w:t>
      </w:r>
      <w:r w:rsidR="00977C0E">
        <w:t xml:space="preserve">l à communication </w:t>
      </w:r>
    </w:p>
    <w:p w14:paraId="2C05082B" w14:textId="33BF2A83" w:rsidR="00813C56" w:rsidRDefault="00F76D35" w:rsidP="00F76D35">
      <w:pPr>
        <w:jc w:val="center"/>
      </w:pPr>
      <w:r>
        <w:t xml:space="preserve"> Journée d’Etude de Gêne</w:t>
      </w:r>
      <w:r w:rsidR="00977C0E">
        <w:t>s, 28 – 29 octobre</w:t>
      </w:r>
      <w:r>
        <w:t xml:space="preserve"> 2021</w:t>
      </w:r>
    </w:p>
    <w:p w14:paraId="58171E67" w14:textId="77777777" w:rsidR="00F76D35" w:rsidRDefault="00F76D35"/>
    <w:p w14:paraId="09F64BE2" w14:textId="6782D5D2" w:rsidR="00505C7F" w:rsidRDefault="00505C7F" w:rsidP="00F76D35">
      <w:pPr>
        <w:jc w:val="both"/>
      </w:pPr>
      <w:r>
        <w:t>Les</w:t>
      </w:r>
      <w:r w:rsidR="00A75BCF">
        <w:t xml:space="preserve"> représentations </w:t>
      </w:r>
      <w:r w:rsidR="00D336A6">
        <w:t>cognitives de l’espace géographique</w:t>
      </w:r>
      <w:r w:rsidR="00A75BCF">
        <w:t xml:space="preserve"> sont </w:t>
      </w:r>
      <w:r>
        <w:t xml:space="preserve">très souvent </w:t>
      </w:r>
      <w:r w:rsidR="00A75BCF">
        <w:t xml:space="preserve">étudiées dans le but de mieux comprendre la manière dont </w:t>
      </w:r>
      <w:r>
        <w:t>les</w:t>
      </w:r>
      <w:r w:rsidR="00A75BCF">
        <w:t xml:space="preserve"> individu</w:t>
      </w:r>
      <w:r>
        <w:t>s</w:t>
      </w:r>
      <w:r w:rsidR="00A75BCF">
        <w:t xml:space="preserve"> </w:t>
      </w:r>
      <w:r>
        <w:t>résolvent</w:t>
      </w:r>
      <w:r w:rsidR="00A75BCF">
        <w:t xml:space="preserve"> les problèmes spatiaux du quotidien </w:t>
      </w:r>
      <w:r>
        <w:t>au</w:t>
      </w:r>
      <w:r w:rsidR="0076729A">
        <w:t>x</w:t>
      </w:r>
      <w:r>
        <w:t>quel</w:t>
      </w:r>
      <w:r w:rsidR="0076729A">
        <w:t>s</w:t>
      </w:r>
      <w:r>
        <w:t xml:space="preserve"> il</w:t>
      </w:r>
      <w:r w:rsidR="0076729A">
        <w:t>s</w:t>
      </w:r>
      <w:r>
        <w:t xml:space="preserve"> peuvent</w:t>
      </w:r>
      <w:r w:rsidR="00D336A6">
        <w:t xml:space="preserve"> être confronté</w:t>
      </w:r>
      <w:r>
        <w:t>s</w:t>
      </w:r>
      <w:r w:rsidR="00D336A6">
        <w:t xml:space="preserve"> </w:t>
      </w:r>
      <w:r w:rsidR="00A75BCF">
        <w:t xml:space="preserve">(Down and </w:t>
      </w:r>
      <w:proofErr w:type="spellStart"/>
      <w:r w:rsidR="00A75BCF">
        <w:t>Stea</w:t>
      </w:r>
      <w:proofErr w:type="spellEnd"/>
      <w:r w:rsidR="00A75BCF">
        <w:t>, 1977), tel</w:t>
      </w:r>
      <w:r w:rsidR="00EF3501">
        <w:t>s</w:t>
      </w:r>
      <w:r w:rsidR="00A75BCF">
        <w:t xml:space="preserve"> que l’orientation dans l’espace, la </w:t>
      </w:r>
      <w:r w:rsidR="00D336A6">
        <w:t>planification</w:t>
      </w:r>
      <w:r w:rsidR="00A75BCF">
        <w:t xml:space="preserve"> d’</w:t>
      </w:r>
      <w:r w:rsidR="00D336A6">
        <w:t>un déplacement</w:t>
      </w:r>
      <w:r w:rsidR="00A75BCF">
        <w:t xml:space="preserve"> ou la navigation</w:t>
      </w:r>
      <w:r w:rsidR="00D336A6">
        <w:t>. Pour le dire autrement, l’accent est mis sur la dimension fonctionnelle de ces représentations spatiales, incitant ainsi à les considérer comme des cartes au sens littéral plutôt que métaphorique</w:t>
      </w:r>
      <w:r>
        <w:t>. De plus</w:t>
      </w:r>
      <w:r w:rsidR="00D336A6">
        <w:t>, l’expérience</w:t>
      </w:r>
      <w:r w:rsidR="00D56D53">
        <w:t xml:space="preserve"> géographique</w:t>
      </w:r>
      <w:r w:rsidR="00D336A6">
        <w:t xml:space="preserve"> de l’individu, qu’elle soit directe </w:t>
      </w:r>
      <w:r w:rsidR="00D56D53">
        <w:t>(déplacements et lieux</w:t>
      </w:r>
      <w:r w:rsidR="0076729A">
        <w:t xml:space="preserve"> fréquentés</w:t>
      </w:r>
      <w:r w:rsidR="00D56D53">
        <w:t xml:space="preserve">) </w:t>
      </w:r>
      <w:r w:rsidR="00D336A6">
        <w:t xml:space="preserve">ou indirecte </w:t>
      </w:r>
      <w:r w:rsidR="00D56D53">
        <w:t xml:space="preserve">(informations spatiales) est considérée comme le principal facteur contribuant </w:t>
      </w:r>
      <w:r w:rsidR="00EF3501">
        <w:t xml:space="preserve">à </w:t>
      </w:r>
      <w:r w:rsidR="00D56D53">
        <w:t xml:space="preserve">leur construction. Dès lors, cet « outil cognitif » est essentiellement envisagé comme une construction </w:t>
      </w:r>
      <w:r>
        <w:t>individuelle</w:t>
      </w:r>
      <w:r w:rsidR="00D56D53">
        <w:t xml:space="preserve"> </w:t>
      </w:r>
      <w:r>
        <w:t xml:space="preserve">et singulière.  </w:t>
      </w:r>
      <w:r w:rsidR="00E96CC4">
        <w:t xml:space="preserve">L’actuelle vitalité des approches </w:t>
      </w:r>
      <w:proofErr w:type="spellStart"/>
      <w:r w:rsidR="00E96CC4">
        <w:t>neuro-cognitives</w:t>
      </w:r>
      <w:proofErr w:type="spellEnd"/>
      <w:r w:rsidR="00E96CC4">
        <w:t>, favorisé</w:t>
      </w:r>
      <w:r w:rsidR="004450B2">
        <w:t>e</w:t>
      </w:r>
      <w:r w:rsidR="00E96CC4">
        <w:t>s par le prix Nobel 2014 pour les recherches sur les cellules de lieu</w:t>
      </w:r>
      <w:r w:rsidR="00E96CC4" w:rsidRPr="00E96CC4">
        <w:rPr>
          <w:rStyle w:val="ouvrage"/>
        </w:rPr>
        <w:t xml:space="preserve"> (</w:t>
      </w:r>
      <w:proofErr w:type="spellStart"/>
      <w:r w:rsidR="00E96CC4" w:rsidRPr="00E96CC4">
        <w:rPr>
          <w:rStyle w:val="ouvrage"/>
        </w:rPr>
        <w:t>O'Keefe</w:t>
      </w:r>
      <w:proofErr w:type="spellEnd"/>
      <w:r w:rsidR="00E96CC4" w:rsidRPr="00E96CC4">
        <w:rPr>
          <w:rStyle w:val="ouvrage"/>
        </w:rPr>
        <w:t xml:space="preserve"> </w:t>
      </w:r>
      <w:r w:rsidR="00E96CC4">
        <w:rPr>
          <w:rStyle w:val="ouvrage"/>
        </w:rPr>
        <w:t>et</w:t>
      </w:r>
      <w:r w:rsidR="00E96CC4" w:rsidRPr="00E96CC4">
        <w:rPr>
          <w:rStyle w:val="ouvrage"/>
        </w:rPr>
        <w:t xml:space="preserve"> </w:t>
      </w:r>
      <w:proofErr w:type="spellStart"/>
      <w:r w:rsidR="00E96CC4" w:rsidRPr="00E96CC4">
        <w:rPr>
          <w:rStyle w:val="ouvrage"/>
        </w:rPr>
        <w:t>Dostrovsky</w:t>
      </w:r>
      <w:proofErr w:type="spellEnd"/>
      <w:r w:rsidR="00E96CC4">
        <w:rPr>
          <w:rStyle w:val="ouvrage"/>
        </w:rPr>
        <w:t>, 1971</w:t>
      </w:r>
      <w:r w:rsidR="00717C24">
        <w:rPr>
          <w:rStyle w:val="ouvrage"/>
        </w:rPr>
        <w:t xml:space="preserve">, </w:t>
      </w:r>
      <w:proofErr w:type="spellStart"/>
      <w:r w:rsidR="00717C24" w:rsidRPr="00E96CC4">
        <w:rPr>
          <w:rStyle w:val="ouvrage"/>
        </w:rPr>
        <w:t>O'Keefe</w:t>
      </w:r>
      <w:proofErr w:type="spellEnd"/>
      <w:r w:rsidR="00717C24">
        <w:t xml:space="preserve"> et </w:t>
      </w:r>
      <w:proofErr w:type="spellStart"/>
      <w:r w:rsidR="00717C24">
        <w:t>Nadel</w:t>
      </w:r>
      <w:proofErr w:type="spellEnd"/>
      <w:r w:rsidR="00717C24">
        <w:t>, 1978</w:t>
      </w:r>
      <w:r w:rsidR="00E96CC4">
        <w:rPr>
          <w:rStyle w:val="ouvrage"/>
        </w:rPr>
        <w:t>)</w:t>
      </w:r>
      <w:r w:rsidR="00E96CC4">
        <w:t xml:space="preserve"> et les cellules de grille (</w:t>
      </w:r>
      <w:proofErr w:type="spellStart"/>
      <w:r w:rsidR="00717C24" w:rsidRPr="00717C24">
        <w:rPr>
          <w:rStyle w:val="nomauteur"/>
        </w:rPr>
        <w:t>Hafting</w:t>
      </w:r>
      <w:proofErr w:type="spellEnd"/>
      <w:r w:rsidR="00717C24" w:rsidRPr="00717C24">
        <w:rPr>
          <w:rStyle w:val="ouvrage"/>
        </w:rPr>
        <w:t xml:space="preserve">, </w:t>
      </w:r>
      <w:proofErr w:type="spellStart"/>
      <w:r w:rsidR="00717C24" w:rsidRPr="00717C24">
        <w:rPr>
          <w:rStyle w:val="nomauteur"/>
        </w:rPr>
        <w:t>Fyhn</w:t>
      </w:r>
      <w:proofErr w:type="spellEnd"/>
      <w:r w:rsidR="00717C24" w:rsidRPr="00717C24">
        <w:rPr>
          <w:rStyle w:val="ouvrage"/>
        </w:rPr>
        <w:t xml:space="preserve">, </w:t>
      </w:r>
      <w:proofErr w:type="spellStart"/>
      <w:r w:rsidR="00717C24" w:rsidRPr="00717C24">
        <w:rPr>
          <w:rStyle w:val="nomauteur"/>
        </w:rPr>
        <w:t>Molden</w:t>
      </w:r>
      <w:proofErr w:type="spellEnd"/>
      <w:r w:rsidR="00717C24" w:rsidRPr="00717C24">
        <w:rPr>
          <w:rStyle w:val="ouvrage"/>
        </w:rPr>
        <w:t xml:space="preserve"> et </w:t>
      </w:r>
      <w:r w:rsidR="00717C24" w:rsidRPr="00717C24">
        <w:rPr>
          <w:rStyle w:val="nomauteur"/>
        </w:rPr>
        <w:t>Moser</w:t>
      </w:r>
      <w:r w:rsidR="00717C24">
        <w:rPr>
          <w:rStyle w:val="nomauteur"/>
        </w:rPr>
        <w:t>, 2005)</w:t>
      </w:r>
      <w:r w:rsidR="00717C24">
        <w:t xml:space="preserve"> mettent de côté l</w:t>
      </w:r>
      <w:r w:rsidR="00E96CC4">
        <w:t>es significations sociales</w:t>
      </w:r>
      <w:r w:rsidR="00717C24">
        <w:t xml:space="preserve"> dans l’analyse et renforcent le caractère fonctionnel et individuel des représentations spatiales</w:t>
      </w:r>
      <w:r w:rsidR="00EF0D88">
        <w:t>. Cette approche mentaliste semble se répercuter dans les recherches en sciences sociales où l’usage de la terminologie « carte mentale » prend progressivement le pas sur celle de carte cognitive (</w:t>
      </w:r>
      <w:proofErr w:type="spellStart"/>
      <w:r w:rsidR="00EF0D88">
        <w:t>Hatlova</w:t>
      </w:r>
      <w:proofErr w:type="spellEnd"/>
      <w:r w:rsidR="00EF0D88">
        <w:t xml:space="preserve"> et </w:t>
      </w:r>
      <w:proofErr w:type="spellStart"/>
      <w:r w:rsidR="00EF0D88">
        <w:t>Hanus</w:t>
      </w:r>
      <w:proofErr w:type="spellEnd"/>
      <w:r w:rsidR="00EF0D88">
        <w:t>, 2020</w:t>
      </w:r>
      <w:r w:rsidR="00491724">
        <w:t>)</w:t>
      </w:r>
      <w:r w:rsidR="00491724" w:rsidRPr="00491724">
        <w:t xml:space="preserve"> incitant ainsi à les considérer comme des cartes au sens l</w:t>
      </w:r>
      <w:r w:rsidR="00491724">
        <w:t>ittéral plutôt que métaphorique</w:t>
      </w:r>
      <w:r w:rsidR="00EF0D88">
        <w:t>.</w:t>
      </w:r>
      <w:r w:rsidR="00A62965">
        <w:t xml:space="preserve"> </w:t>
      </w:r>
    </w:p>
    <w:p w14:paraId="48C9D73F" w14:textId="49BF197B" w:rsidR="00491724" w:rsidRDefault="00D41465" w:rsidP="00F76D35">
      <w:pPr>
        <w:jc w:val="both"/>
      </w:pPr>
      <w:r>
        <w:t>Les études sur l</w:t>
      </w:r>
      <w:r w:rsidR="009227CC">
        <w:t>es</w:t>
      </w:r>
      <w:r w:rsidR="005771EA">
        <w:t xml:space="preserve"> dimensions sociales de ces représentations cognitives de l’espace</w:t>
      </w:r>
      <w:r w:rsidR="0000104E">
        <w:t xml:space="preserve"> </w:t>
      </w:r>
      <w:r w:rsidR="009227CC">
        <w:t>ont</w:t>
      </w:r>
      <w:r w:rsidR="00920D25">
        <w:t xml:space="preserve"> débuté modestement dès le</w:t>
      </w:r>
      <w:r w:rsidR="0000104E">
        <w:t xml:space="preserve"> mi</w:t>
      </w:r>
      <w:r w:rsidR="009227CC">
        <w:t xml:space="preserve">lieu des années 70 en montrant </w:t>
      </w:r>
      <w:r w:rsidR="00920D25">
        <w:t xml:space="preserve">l’importante </w:t>
      </w:r>
      <w:r w:rsidR="0076729A">
        <w:t>récurrence</w:t>
      </w:r>
      <w:r w:rsidR="0000104E">
        <w:t xml:space="preserve"> des éléments symboliques de la ville dans </w:t>
      </w:r>
      <w:r w:rsidR="00920D25">
        <w:t>les</w:t>
      </w:r>
      <w:r w:rsidR="0000104E">
        <w:t xml:space="preserve"> dessin</w:t>
      </w:r>
      <w:r w:rsidR="00920D25">
        <w:t>s</w:t>
      </w:r>
      <w:r w:rsidR="0000104E">
        <w:t xml:space="preserve"> à main levée (Milgram et Jodelet, 1976). Depuis lors</w:t>
      </w:r>
      <w:r w:rsidR="00920D25">
        <w:t>,</w:t>
      </w:r>
      <w:r w:rsidR="0000104E">
        <w:t xml:space="preserve"> </w:t>
      </w:r>
      <w:r w:rsidR="0076729A">
        <w:t xml:space="preserve">plusieurs recherches ont mobilisé </w:t>
      </w:r>
      <w:r w:rsidR="0000104E">
        <w:t xml:space="preserve">le paradigme psychosociologique des représentations sociales pour montrer que les représentations spatiales </w:t>
      </w:r>
      <w:r w:rsidR="0076729A">
        <w:t>étaient</w:t>
      </w:r>
      <w:r w:rsidR="0000104E">
        <w:t xml:space="preserve"> de</w:t>
      </w:r>
      <w:r w:rsidR="006859BC">
        <w:t xml:space="preserve"> véritables</w:t>
      </w:r>
      <w:r w:rsidR="0000104E">
        <w:t xml:space="preserve"> représentations sociales (</w:t>
      </w:r>
      <w:r w:rsidR="0076729A">
        <w:t>Jodelet, 1982</w:t>
      </w:r>
      <w:r w:rsidR="0000104E">
        <w:t>)</w:t>
      </w:r>
      <w:r w:rsidR="00863ECB">
        <w:t>.</w:t>
      </w:r>
    </w:p>
    <w:p w14:paraId="025363EE" w14:textId="1D6FC3F1" w:rsidR="0000104E" w:rsidRDefault="00491724" w:rsidP="00F76D35">
      <w:pPr>
        <w:jc w:val="both"/>
      </w:pPr>
      <w:r>
        <w:t>Aujourd’hui, l</w:t>
      </w:r>
      <w:r w:rsidR="0076729A">
        <w:t>es analyses sur l</w:t>
      </w:r>
      <w:r w:rsidR="00446494">
        <w:t xml:space="preserve">es </w:t>
      </w:r>
      <w:r w:rsidR="00446494" w:rsidRPr="00446494">
        <w:t>dimension</w:t>
      </w:r>
      <w:r w:rsidR="00446494">
        <w:t>s</w:t>
      </w:r>
      <w:r w:rsidR="00446494" w:rsidRPr="00446494">
        <w:t xml:space="preserve"> sociale</w:t>
      </w:r>
      <w:r w:rsidR="00446494">
        <w:t>s</w:t>
      </w:r>
      <w:r w:rsidR="00446494" w:rsidRPr="00446494">
        <w:t xml:space="preserve"> de la cognition spatiale </w:t>
      </w:r>
      <w:r w:rsidR="00446494">
        <w:t xml:space="preserve">ne sont </w:t>
      </w:r>
      <w:r w:rsidR="006859BC">
        <w:t xml:space="preserve">pas </w:t>
      </w:r>
      <w:r w:rsidR="00446494">
        <w:t>pour</w:t>
      </w:r>
      <w:r w:rsidR="00446494" w:rsidRPr="00446494">
        <w:t xml:space="preserve"> autant </w:t>
      </w:r>
      <w:proofErr w:type="gramStart"/>
      <w:r w:rsidR="00446494" w:rsidRPr="00446494">
        <w:t>unifiée</w:t>
      </w:r>
      <w:r w:rsidR="00446494">
        <w:t>s</w:t>
      </w:r>
      <w:proofErr w:type="gramEnd"/>
      <w:r w:rsidR="00446494">
        <w:t>. Certaine</w:t>
      </w:r>
      <w:r w:rsidR="00446494" w:rsidRPr="00446494">
        <w:t>s</w:t>
      </w:r>
      <w:r w:rsidR="00446494">
        <w:t xml:space="preserve"> reposent sur des approches culturalistes</w:t>
      </w:r>
      <w:r w:rsidR="00446494" w:rsidRPr="00446494">
        <w:t xml:space="preserve"> </w:t>
      </w:r>
      <w:r w:rsidR="00446494">
        <w:t>(</w:t>
      </w:r>
      <w:proofErr w:type="spellStart"/>
      <w:r w:rsidR="00446494">
        <w:t>Helft</w:t>
      </w:r>
      <w:proofErr w:type="spellEnd"/>
      <w:r w:rsidR="00054C4C">
        <w:t>, 2013</w:t>
      </w:r>
      <w:r w:rsidR="00446494">
        <w:t>) quand d’autres mettent plus simplement l’accent sur les contraste</w:t>
      </w:r>
      <w:r w:rsidR="004450B2">
        <w:t>s</w:t>
      </w:r>
      <w:r w:rsidR="00446494">
        <w:t xml:space="preserve"> en termes de conditions socio-économiques. </w:t>
      </w:r>
      <w:r w:rsidR="0000104E">
        <w:t>Par ailleurs, la sociologie engage depuis peu des travaux sur la socialisation à l’espace publi</w:t>
      </w:r>
      <w:r w:rsidR="00EF3501">
        <w:t>c</w:t>
      </w:r>
      <w:r w:rsidR="0000104E">
        <w:t xml:space="preserve"> (Rivière, 2017) alors que la démographie a depuis</w:t>
      </w:r>
      <w:r w:rsidR="00863ECB">
        <w:t xml:space="preserve"> plus</w:t>
      </w:r>
      <w:r w:rsidR="0000104E">
        <w:t xml:space="preserve"> lon</w:t>
      </w:r>
      <w:r w:rsidR="00863ECB">
        <w:t>gtemps analysé les processus de socialisation à l’espace résidentiel (</w:t>
      </w:r>
      <w:proofErr w:type="spellStart"/>
      <w:r w:rsidR="00863ECB">
        <w:t>Bonvalet</w:t>
      </w:r>
      <w:proofErr w:type="spellEnd"/>
      <w:r w:rsidR="00B149CA">
        <w:t>, 1993</w:t>
      </w:r>
      <w:r w:rsidR="00863ECB">
        <w:t xml:space="preserve">). Toujours en termes de construction sociologique des « expériences géographiques », géographes et psychologues </w:t>
      </w:r>
      <w:r w:rsidR="00920D25">
        <w:t>engagent également depuis peu des recherches sur</w:t>
      </w:r>
      <w:r w:rsidR="00863ECB">
        <w:t xml:space="preserve"> la socialisation aux mobilités géographiques</w:t>
      </w:r>
      <w:r w:rsidR="00856B3C">
        <w:t xml:space="preserve"> et sur les processus de territorialisation</w:t>
      </w:r>
      <w:r w:rsidR="0076729A">
        <w:t>. Or il nous semble que t</w:t>
      </w:r>
      <w:r w:rsidR="00920D25">
        <w:t>ous ces objets analysés sous le pri</w:t>
      </w:r>
      <w:r w:rsidR="00EF3501">
        <w:t>s</w:t>
      </w:r>
      <w:r w:rsidR="00920D25">
        <w:t xml:space="preserve">me de la </w:t>
      </w:r>
      <w:r w:rsidR="000F0D29">
        <w:t>socialisation devraient également permettre d’apporter quelques éléments de compréhension sur la cartographie cognitive.</w:t>
      </w:r>
    </w:p>
    <w:p w14:paraId="542D6558" w14:textId="63BCBCB4" w:rsidR="00F76D35" w:rsidRDefault="00446494" w:rsidP="00F76D35">
      <w:pPr>
        <w:jc w:val="both"/>
      </w:pPr>
      <w:r>
        <w:t xml:space="preserve">Le réseau </w:t>
      </w:r>
      <w:proofErr w:type="spellStart"/>
      <w:r>
        <w:t>Cartotête</w:t>
      </w:r>
      <w:proofErr w:type="spellEnd"/>
      <w:r>
        <w:t xml:space="preserve"> s’est donné pour objectif d’explorer ces dimensions sociales qui participent à la construction des </w:t>
      </w:r>
      <w:r w:rsidR="004042B8">
        <w:t>représentations co</w:t>
      </w:r>
      <w:r w:rsidR="000F0D29">
        <w:t>gnitives de l’espace</w:t>
      </w:r>
      <w:r w:rsidR="00856B3C">
        <w:t xml:space="preserve"> et, </w:t>
      </w:r>
      <w:r w:rsidR="00992766">
        <w:t>par-là</w:t>
      </w:r>
      <w:r w:rsidR="00856B3C">
        <w:t xml:space="preserve">, aux processus de territorialisation, </w:t>
      </w:r>
      <w:r w:rsidR="000F0D29">
        <w:t>de sorte à</w:t>
      </w:r>
      <w:r w:rsidR="004042B8">
        <w:t xml:space="preserve"> stimuler les échanges entre chercheurs sur la cartographie socio-cognitive</w:t>
      </w:r>
      <w:r w:rsidR="007C310E">
        <w:t>. Sans pour autant rejeter la dimension fonctionnelle de ces représentations, il souhaite faire converger les recherches qui abordent les « cartes mentales » comme des révélateurs de l’articulation entre rapport à l’espace géographique et rapport à autrui. Si les trois premières journ</w:t>
      </w:r>
      <w:r w:rsidR="000F0D29">
        <w:t>ée</w:t>
      </w:r>
      <w:r w:rsidR="00EF3501">
        <w:t>s</w:t>
      </w:r>
      <w:r w:rsidR="000F0D29">
        <w:t xml:space="preserve"> d’étude du réseau (Clermont-F</w:t>
      </w:r>
      <w:r w:rsidR="007C310E">
        <w:t>errand en 2014, Strasbourg en 2017 et Besançon en 2019) ont surtout mis l’accent su</w:t>
      </w:r>
      <w:r w:rsidR="00C54E3C">
        <w:t>r les aspects méthodologiques de la cartographie socio-cognitive, cette 4</w:t>
      </w:r>
      <w:r w:rsidR="00C54E3C" w:rsidRPr="00C54E3C">
        <w:rPr>
          <w:vertAlign w:val="superscript"/>
        </w:rPr>
        <w:t>ème</w:t>
      </w:r>
      <w:r w:rsidR="00C54E3C">
        <w:t xml:space="preserve"> journée d’étude du réseau propose</w:t>
      </w:r>
      <w:r w:rsidR="0076729A">
        <w:t xml:space="preserve"> cette fois </w:t>
      </w:r>
      <w:r w:rsidR="000F0D29">
        <w:t>de fonder les échanges à partir de t</w:t>
      </w:r>
      <w:r w:rsidR="00C54E3C">
        <w:t xml:space="preserve">ravaux empiriques </w:t>
      </w:r>
      <w:r w:rsidR="000F0D29">
        <w:t>sur les processus</w:t>
      </w:r>
      <w:r w:rsidR="00C54E3C">
        <w:t xml:space="preserve"> socio-cognitifs ou </w:t>
      </w:r>
      <w:r w:rsidR="00C54E3C">
        <w:lastRenderedPageBreak/>
        <w:t>socio-spatiaux de la cartographie cognitive</w:t>
      </w:r>
      <w:r w:rsidR="000F0D29">
        <w:t xml:space="preserve">. </w:t>
      </w:r>
      <w:r w:rsidR="009C1CFE">
        <w:t xml:space="preserve"> Il s’agit d’une édition internationale qui </w:t>
      </w:r>
      <w:r w:rsidR="000159BE">
        <w:t>sera organisée par</w:t>
      </w:r>
      <w:r w:rsidR="009C1CFE">
        <w:t xml:space="preserve"> </w:t>
      </w:r>
      <w:r w:rsidR="000159BE">
        <w:t>le département de Science Politique (DISPO) de l’Université de Gênes (Italie).</w:t>
      </w:r>
      <w:r w:rsidR="009C1CFE">
        <w:t xml:space="preserve"> </w:t>
      </w:r>
      <w:r w:rsidR="007435C2">
        <w:t>T</w:t>
      </w:r>
      <w:r w:rsidR="00A62965">
        <w:t>rois axes</w:t>
      </w:r>
      <w:r w:rsidR="007435C2">
        <w:t xml:space="preserve"> thématiques sont</w:t>
      </w:r>
      <w:r w:rsidR="00A62965">
        <w:t xml:space="preserve"> proposés</w:t>
      </w:r>
      <w:r w:rsidR="00104DCC">
        <w:t xml:space="preserve"> </w:t>
      </w:r>
      <w:r w:rsidR="00A62965">
        <w:t xml:space="preserve">: </w:t>
      </w:r>
    </w:p>
    <w:p w14:paraId="6C95D089" w14:textId="77777777" w:rsidR="006D33CD" w:rsidRPr="00061FFF" w:rsidRDefault="008952D7" w:rsidP="007435C2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061FFF">
        <w:rPr>
          <w:b/>
          <w:bCs/>
        </w:rPr>
        <w:t xml:space="preserve"> </w:t>
      </w:r>
      <w:r w:rsidR="00B3435F" w:rsidRPr="00061FFF">
        <w:rPr>
          <w:b/>
          <w:bCs/>
        </w:rPr>
        <w:t>Représentations</w:t>
      </w:r>
      <w:r w:rsidR="00A62965" w:rsidRPr="00061FFF">
        <w:rPr>
          <w:b/>
          <w:bCs/>
        </w:rPr>
        <w:t xml:space="preserve"> cognitives de l’espace et </w:t>
      </w:r>
      <w:r w:rsidR="00EF3501" w:rsidRPr="00061FFF">
        <w:rPr>
          <w:b/>
          <w:bCs/>
        </w:rPr>
        <w:t>rapport à autrui</w:t>
      </w:r>
    </w:p>
    <w:p w14:paraId="4A6E1A5F" w14:textId="5AA04285" w:rsidR="00A62965" w:rsidRDefault="000706D6" w:rsidP="007435C2">
      <w:pPr>
        <w:jc w:val="both"/>
      </w:pPr>
      <w:r>
        <w:t>Il s’agira d’</w:t>
      </w:r>
      <w:r w:rsidR="00A62965">
        <w:t>identifier les dimensions sociales des représentations spatiales sous l’angle de l’analyse interindividuelle et intergroupe.</w:t>
      </w:r>
      <w:r w:rsidR="00E915E2">
        <w:t xml:space="preserve"> Quels sont</w:t>
      </w:r>
      <w:r w:rsidR="00A62965">
        <w:t xml:space="preserve"> les liens entre l’appartenance </w:t>
      </w:r>
      <w:r>
        <w:t>à un groupe</w:t>
      </w:r>
      <w:r w:rsidR="00A62965">
        <w:t>, les trajectoires</w:t>
      </w:r>
      <w:r w:rsidR="00E915E2">
        <w:t xml:space="preserve"> et les positions sociales</w:t>
      </w:r>
      <w:r w:rsidR="00A62965">
        <w:t xml:space="preserve"> des individus et leur représentation de l’espace</w:t>
      </w:r>
      <w:r w:rsidR="00E915E2">
        <w:t xml:space="preserve"> ? </w:t>
      </w:r>
      <w:r>
        <w:t xml:space="preserve"> Que nous apprennent les représentations spatiales sur le rapport aux autres ?</w:t>
      </w:r>
      <w:r w:rsidR="00120AC6">
        <w:t xml:space="preserve"> </w:t>
      </w:r>
      <w:r w:rsidR="008952D7">
        <w:t xml:space="preserve">Les recherches présentées peuvent tout autant porter sur les conflits d’appropriation d’un espace que sur l’articulation de différentes formes d’appropriation d’un même espace. En </w:t>
      </w:r>
      <w:r w:rsidR="003748A6">
        <w:t>quoi la cartographie cognitive peut</w:t>
      </w:r>
      <w:r w:rsidR="002906AE">
        <w:t>-elle</w:t>
      </w:r>
      <w:r w:rsidR="003748A6">
        <w:t xml:space="preserve"> contribuer à souligner </w:t>
      </w:r>
      <w:r w:rsidR="005A6BEC">
        <w:t>les</w:t>
      </w:r>
      <w:r w:rsidR="003748A6">
        <w:t xml:space="preserve"> enjeux liés à des perceptions, conceptions et vécus différents d’un même territoire</w:t>
      </w:r>
      <w:r w:rsidR="002906AE">
        <w:t> ?</w:t>
      </w:r>
    </w:p>
    <w:p w14:paraId="7CF67910" w14:textId="77777777" w:rsidR="008952D7" w:rsidRDefault="008952D7" w:rsidP="000159BE">
      <w:pPr>
        <w:pStyle w:val="Paragraphedeliste"/>
        <w:jc w:val="both"/>
      </w:pPr>
    </w:p>
    <w:p w14:paraId="168F50C1" w14:textId="77777777" w:rsidR="00E915E2" w:rsidRPr="00061FFF" w:rsidRDefault="00B3435F" w:rsidP="000159BE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061FFF">
        <w:rPr>
          <w:b/>
          <w:bCs/>
        </w:rPr>
        <w:t>Dimensions</w:t>
      </w:r>
      <w:r w:rsidR="008952D7" w:rsidRPr="00061FFF">
        <w:rPr>
          <w:b/>
          <w:bCs/>
        </w:rPr>
        <w:t xml:space="preserve"> sociales,</w:t>
      </w:r>
      <w:r w:rsidRPr="00061FFF">
        <w:rPr>
          <w:b/>
          <w:bCs/>
        </w:rPr>
        <w:t xml:space="preserve"> symboliques et </w:t>
      </w:r>
      <w:r w:rsidR="008952D7" w:rsidRPr="00061FFF">
        <w:rPr>
          <w:b/>
          <w:bCs/>
        </w:rPr>
        <w:t xml:space="preserve">collectives </w:t>
      </w:r>
      <w:r w:rsidRPr="00061FFF">
        <w:rPr>
          <w:b/>
          <w:bCs/>
        </w:rPr>
        <w:t>des représentations cognitives de l’espace :</w:t>
      </w:r>
    </w:p>
    <w:p w14:paraId="1319ABFF" w14:textId="43417011" w:rsidR="00B3435F" w:rsidRDefault="00D74AE1" w:rsidP="00B3435F">
      <w:pPr>
        <w:jc w:val="both"/>
      </w:pPr>
      <w:r>
        <w:t xml:space="preserve">On peut ici envisager </w:t>
      </w:r>
      <w:r w:rsidR="00B3435F">
        <w:t>deux niveaux</w:t>
      </w:r>
      <w:r>
        <w:t xml:space="preserve"> d’analyse</w:t>
      </w:r>
      <w:r w:rsidR="00B3435F">
        <w:t xml:space="preserve">. En premier lieu, en se concentrant sur le niveau </w:t>
      </w:r>
      <w:r w:rsidR="003748A6">
        <w:t xml:space="preserve">idéologique, </w:t>
      </w:r>
      <w:r w:rsidR="00B3435F">
        <w:t xml:space="preserve">les propositions </w:t>
      </w:r>
      <w:r w:rsidR="00F401FA">
        <w:t xml:space="preserve">peuvent faire </w:t>
      </w:r>
      <w:r w:rsidR="00B3435F">
        <w:t>le lien entre les représentations et les dimensions spatiales des idéologies, des croyances, des opinions</w:t>
      </w:r>
      <w:r>
        <w:t xml:space="preserve">, qu’elles soient </w:t>
      </w:r>
      <w:r w:rsidR="00B3435F">
        <w:t>politiques</w:t>
      </w:r>
      <w:r>
        <w:t xml:space="preserve">, </w:t>
      </w:r>
      <w:r w:rsidR="00D41465">
        <w:t>religieuses</w:t>
      </w:r>
      <w:r>
        <w:t>, culturelles,</w:t>
      </w:r>
      <w:r w:rsidR="00D857EF">
        <w:t xml:space="preserve"> technologiques,</w:t>
      </w:r>
      <w:r>
        <w:t xml:space="preserve"> etc., en mettant l’accent sur les pratiques de socialisation à l’espace qui étayent cette dimension idéologique</w:t>
      </w:r>
      <w:r w:rsidR="00D13E3A">
        <w:t xml:space="preserve"> du rapport à l’espace</w:t>
      </w:r>
      <w:r w:rsidR="00B3435F">
        <w:t xml:space="preserve">. </w:t>
      </w:r>
      <w:r w:rsidR="00D13E3A">
        <w:t>L</w:t>
      </w:r>
      <w:r w:rsidR="00F401FA">
        <w:t>a variété des</w:t>
      </w:r>
      <w:r w:rsidR="00D13E3A">
        <w:t xml:space="preserve"> échelles spatiales</w:t>
      </w:r>
      <w:r w:rsidR="00F401FA">
        <w:t xml:space="preserve"> est recherchée et</w:t>
      </w:r>
      <w:r w:rsidR="00D13E3A">
        <w:t xml:space="preserve"> peuvent aller du bâtiment (lieu de travail,</w:t>
      </w:r>
      <w:r w:rsidR="00061FFF">
        <w:t xml:space="preserve"> </w:t>
      </w:r>
      <w:r w:rsidR="00F401FA">
        <w:t>…</w:t>
      </w:r>
      <w:r w:rsidR="00D13E3A">
        <w:t xml:space="preserve">) au quartier, à la ville, etc. </w:t>
      </w:r>
      <w:r w:rsidR="00B3435F">
        <w:t xml:space="preserve">En </w:t>
      </w:r>
      <w:r w:rsidR="00D857EF">
        <w:t>second</w:t>
      </w:r>
      <w:r w:rsidR="00B3435F">
        <w:t xml:space="preserve"> lieu,</w:t>
      </w:r>
      <w:r w:rsidR="00D13E3A">
        <w:t xml:space="preserve"> </w:t>
      </w:r>
      <w:r w:rsidR="00B3435F">
        <w:t>en se concentrant sur le niveau individu</w:t>
      </w:r>
      <w:r w:rsidR="00D13E3A">
        <w:t>el ou collectif du rapport à l’espace</w:t>
      </w:r>
      <w:r w:rsidR="00B3435F">
        <w:t>, les propos</w:t>
      </w:r>
      <w:r w:rsidR="00387E69">
        <w:t>itions</w:t>
      </w:r>
      <w:r w:rsidR="00D13E3A">
        <w:t xml:space="preserve"> pourront montrer les liens qui s’opère</w:t>
      </w:r>
      <w:r w:rsidR="00F401FA">
        <w:t>nt</w:t>
      </w:r>
      <w:r w:rsidR="00D13E3A">
        <w:t xml:space="preserve"> entre le sens attribué aux lieux et leur agencement</w:t>
      </w:r>
      <w:r w:rsidR="00F401FA">
        <w:t xml:space="preserve"> spatial</w:t>
      </w:r>
      <w:r w:rsidR="00120AC6">
        <w:t>. Comment le contenu symbolique des</w:t>
      </w:r>
      <w:r w:rsidR="00387E69">
        <w:t xml:space="preserve"> objet</w:t>
      </w:r>
      <w:r w:rsidR="00120AC6">
        <w:t>s</w:t>
      </w:r>
      <w:r w:rsidR="00387E69">
        <w:t xml:space="preserve"> géographique</w:t>
      </w:r>
      <w:r w:rsidR="00120AC6">
        <w:t>s</w:t>
      </w:r>
      <w:r w:rsidR="00387E69">
        <w:t xml:space="preserve"> (un monument, un quartier, etc.) </w:t>
      </w:r>
      <w:r w:rsidR="00120AC6">
        <w:t>organise leur distribution spatiale</w:t>
      </w:r>
      <w:r w:rsidR="00F401FA">
        <w:t> ?</w:t>
      </w:r>
      <w:r w:rsidR="00120AC6">
        <w:t xml:space="preserve"> </w:t>
      </w:r>
      <w:r w:rsidR="00387E69">
        <w:t xml:space="preserve">Sur ces deux niveaux, une attention particulière pourra </w:t>
      </w:r>
      <w:r w:rsidR="0043573E">
        <w:t>être</w:t>
      </w:r>
      <w:r w:rsidR="00387E69">
        <w:t xml:space="preserve"> portée sur le lien entre représentations et ancrages spatiaux de la mémoire </w:t>
      </w:r>
      <w:r w:rsidR="005A6BEC">
        <w:t xml:space="preserve">individuelle ou </w:t>
      </w:r>
      <w:r w:rsidR="00387E69">
        <w:t>collective</w:t>
      </w:r>
      <w:r w:rsidR="005A6BEC">
        <w:t xml:space="preserve">, </w:t>
      </w:r>
      <w:r w:rsidR="00120AC6">
        <w:t>sur</w:t>
      </w:r>
      <w:r w:rsidR="005A6BEC">
        <w:t xml:space="preserve"> les rapports entre mémoires locales/profanes et mémoires institutionnalisées</w:t>
      </w:r>
      <w:r w:rsidR="00387E69">
        <w:t xml:space="preserve"> (</w:t>
      </w:r>
      <w:r w:rsidR="0043573E" w:rsidRPr="000159BE">
        <w:rPr>
          <w:rStyle w:val="ouvrage"/>
        </w:rPr>
        <w:t>Halbwachs, 1941</w:t>
      </w:r>
      <w:r w:rsidR="005A6BEC" w:rsidRPr="000159BE">
        <w:rPr>
          <w:rStyle w:val="ouvrage"/>
        </w:rPr>
        <w:t>, Violi, 2014</w:t>
      </w:r>
      <w:r w:rsidR="00387E69">
        <w:t xml:space="preserve">). </w:t>
      </w:r>
    </w:p>
    <w:p w14:paraId="5AE80BBC" w14:textId="77777777" w:rsidR="00120AC6" w:rsidRDefault="00120AC6" w:rsidP="00B3435F">
      <w:pPr>
        <w:jc w:val="both"/>
      </w:pPr>
    </w:p>
    <w:p w14:paraId="13170AAF" w14:textId="77777777" w:rsidR="00387E69" w:rsidRPr="00061FFF" w:rsidRDefault="00387E69" w:rsidP="000159BE">
      <w:pPr>
        <w:pStyle w:val="Paragraphedeliste"/>
        <w:numPr>
          <w:ilvl w:val="0"/>
          <w:numId w:val="2"/>
        </w:numPr>
        <w:jc w:val="both"/>
        <w:rPr>
          <w:b/>
          <w:bCs/>
        </w:rPr>
      </w:pPr>
      <w:r w:rsidRPr="00061FFF">
        <w:rPr>
          <w:b/>
          <w:bCs/>
        </w:rPr>
        <w:t xml:space="preserve">Représentations cognitives de l’espace et </w:t>
      </w:r>
      <w:r w:rsidR="00F401FA" w:rsidRPr="00061FFF">
        <w:rPr>
          <w:b/>
          <w:bCs/>
        </w:rPr>
        <w:t xml:space="preserve">distributions spatiales </w:t>
      </w:r>
      <w:r w:rsidR="004A56EF" w:rsidRPr="00061FFF">
        <w:rPr>
          <w:b/>
          <w:bCs/>
        </w:rPr>
        <w:t>du réseau de relation</w:t>
      </w:r>
      <w:r w:rsidRPr="00061FFF">
        <w:rPr>
          <w:b/>
          <w:bCs/>
        </w:rPr>
        <w:t xml:space="preserve"> </w:t>
      </w:r>
    </w:p>
    <w:p w14:paraId="760197D0" w14:textId="0C2D73B4" w:rsidR="009C1CFE" w:rsidRDefault="00387E69" w:rsidP="00387E69">
      <w:pPr>
        <w:jc w:val="both"/>
      </w:pPr>
      <w:r>
        <w:t xml:space="preserve">Cet axe est </w:t>
      </w:r>
      <w:r w:rsidR="00120AC6">
        <w:t xml:space="preserve">plus spécifiquement </w:t>
      </w:r>
      <w:r>
        <w:t xml:space="preserve">dédié à la </w:t>
      </w:r>
      <w:r w:rsidR="00120AC6">
        <w:t>relation</w:t>
      </w:r>
      <w:r>
        <w:t xml:space="preserve"> entre les pratiques</w:t>
      </w:r>
      <w:r w:rsidR="004A56EF">
        <w:t xml:space="preserve"> sociales</w:t>
      </w:r>
      <w:r>
        <w:t xml:space="preserve"> </w:t>
      </w:r>
      <w:r w:rsidR="008D078A">
        <w:t>et les</w:t>
      </w:r>
      <w:r>
        <w:t xml:space="preserve"> représentations spatiales</w:t>
      </w:r>
      <w:r w:rsidR="005A6BEC">
        <w:t xml:space="preserve">, en mettant l’accent </w:t>
      </w:r>
      <w:r w:rsidR="004A56EF">
        <w:t>sur les effets de la distribution spatiale du réseau de relation</w:t>
      </w:r>
      <w:r w:rsidR="004450B2">
        <w:t>s</w:t>
      </w:r>
      <w:r w:rsidR="004A56EF">
        <w:t xml:space="preserve"> sur la représentation cognitive de l’espace géographique. Si le réseau social actuel est certainement de première importance, on pourra toutefois s’intéresser à son évolution dans le temps et dans l’espace, afin de saisir son épaisseur historique et ses traces dans les représentations spatiales actuelles. </w:t>
      </w:r>
      <w:r w:rsidR="00491724">
        <w:t xml:space="preserve">Ce sera ainsi l’occasion d’aborder comment </w:t>
      </w:r>
      <w:r w:rsidR="00B01124">
        <w:t>les représentations cognitives de l’espace se construisent en relation avec</w:t>
      </w:r>
      <w:r>
        <w:t xml:space="preserve"> la distribution spati</w:t>
      </w:r>
      <w:r w:rsidR="00491724">
        <w:t>o-temporelle</w:t>
      </w:r>
      <w:r>
        <w:t xml:space="preserve"> du réseau</w:t>
      </w:r>
      <w:r w:rsidR="00491724">
        <w:t xml:space="preserve"> social</w:t>
      </w:r>
      <w:r>
        <w:t xml:space="preserve"> d’un individu</w:t>
      </w:r>
      <w:r w:rsidR="002906AE">
        <w:t>.</w:t>
      </w:r>
    </w:p>
    <w:p w14:paraId="362A0844" w14:textId="77777777" w:rsidR="006D33CD" w:rsidRDefault="006D33CD" w:rsidP="009C1CFE">
      <w:pPr>
        <w:jc w:val="both"/>
      </w:pPr>
    </w:p>
    <w:p w14:paraId="3761D191" w14:textId="5DC100E5" w:rsidR="003F733B" w:rsidRPr="00B77518" w:rsidRDefault="00F15FC5" w:rsidP="009C1CFE">
      <w:pPr>
        <w:jc w:val="both"/>
        <w:rPr>
          <w:b/>
          <w:bCs/>
        </w:rPr>
      </w:pPr>
      <w:r w:rsidRPr="00900220">
        <w:rPr>
          <w:b/>
          <w:bCs/>
        </w:rPr>
        <w:t>Calendrier</w:t>
      </w:r>
      <w:r w:rsidR="003F733B" w:rsidRPr="00900220">
        <w:rPr>
          <w:b/>
          <w:bCs/>
        </w:rPr>
        <w:t xml:space="preserve"> </w:t>
      </w:r>
      <w:r w:rsidR="003F733B" w:rsidRPr="00B77518">
        <w:rPr>
          <w:b/>
          <w:bCs/>
        </w:rPr>
        <w:t>:</w:t>
      </w:r>
    </w:p>
    <w:p w14:paraId="6191B672" w14:textId="0F61D62A" w:rsidR="006716E1" w:rsidRPr="00326337" w:rsidRDefault="006716E1" w:rsidP="009C1CFE">
      <w:pPr>
        <w:jc w:val="both"/>
      </w:pPr>
      <w:r w:rsidRPr="00326337">
        <w:t>25 janvier 2021 : diffusion de l’appel à communication</w:t>
      </w:r>
    </w:p>
    <w:p w14:paraId="2E112B60" w14:textId="3AD00D17" w:rsidR="006716E1" w:rsidRPr="00326337" w:rsidRDefault="006716E1" w:rsidP="009C1CFE">
      <w:pPr>
        <w:jc w:val="both"/>
      </w:pPr>
      <w:r w:rsidRPr="00326337">
        <w:t xml:space="preserve">30 avril 2021 : date limite de réception des </w:t>
      </w:r>
      <w:r w:rsidR="00326337">
        <w:t xml:space="preserve">résumés des </w:t>
      </w:r>
      <w:r w:rsidRPr="00326337">
        <w:t>communications</w:t>
      </w:r>
      <w:r w:rsidR="00D41465">
        <w:t xml:space="preserve"> (2500 signes maximum, espaces inclus).</w:t>
      </w:r>
    </w:p>
    <w:p w14:paraId="63B9D44B" w14:textId="5EF92F69" w:rsidR="006716E1" w:rsidRDefault="006716E1" w:rsidP="009C1CFE">
      <w:pPr>
        <w:jc w:val="both"/>
        <w:rPr>
          <w:highlight w:val="yellow"/>
        </w:rPr>
      </w:pPr>
      <w:r w:rsidRPr="00326337">
        <w:t>2 juillet 2021 : réponse du comité scientifique</w:t>
      </w:r>
      <w:r w:rsidR="00326337" w:rsidRPr="004F4504">
        <w:t>.</w:t>
      </w:r>
    </w:p>
    <w:p w14:paraId="66B96817" w14:textId="0F77FDB8" w:rsidR="00326337" w:rsidRPr="00326337" w:rsidRDefault="00326337" w:rsidP="009C1CFE">
      <w:pPr>
        <w:jc w:val="both"/>
      </w:pPr>
      <w:r w:rsidRPr="004F4504">
        <w:lastRenderedPageBreak/>
        <w:t>30 septembre : date limite de réception des textes des communications</w:t>
      </w:r>
      <w:r w:rsidR="00D41465">
        <w:t xml:space="preserve"> (35000 signes maximum, espaces inclus).</w:t>
      </w:r>
    </w:p>
    <w:p w14:paraId="6B1239F4" w14:textId="189CC5E9" w:rsidR="006716E1" w:rsidRDefault="00326337" w:rsidP="009C1CFE">
      <w:pPr>
        <w:jc w:val="both"/>
      </w:pPr>
      <w:r w:rsidRPr="004F4504">
        <w:t xml:space="preserve">28 – 29 </w:t>
      </w:r>
      <w:r w:rsidR="006716E1" w:rsidRPr="004F4504">
        <w:t>octobre 2021</w:t>
      </w:r>
      <w:r w:rsidR="006716E1" w:rsidRPr="00326337">
        <w:t> : tenue des journées d’études (en visio-conférence si nécessaire)</w:t>
      </w:r>
      <w:r w:rsidR="007435C2" w:rsidRPr="00326337">
        <w:t>.</w:t>
      </w:r>
    </w:p>
    <w:p w14:paraId="47CE612A" w14:textId="45A8E1AD" w:rsidR="00D41465" w:rsidRDefault="006D33CD" w:rsidP="006D33CD">
      <w:pPr>
        <w:jc w:val="both"/>
      </w:pPr>
      <w:r>
        <w:t>Les résumés des communications devront être rédigés en français</w:t>
      </w:r>
      <w:r w:rsidR="00D41465">
        <w:t>, en anglais ou en italien</w:t>
      </w:r>
      <w:r>
        <w:t xml:space="preserve"> et devront comprendre la problématique abordée, la méthode utilisée et les principaux résultats qui seront communiqués. Les propositions</w:t>
      </w:r>
      <w:r w:rsidR="00D41465">
        <w:t xml:space="preserve"> (2500 signes maximum espaces inclus, </w:t>
      </w:r>
      <w:r>
        <w:t xml:space="preserve">document « Word », police « Times new roman », taille 12, interligne 1.15) </w:t>
      </w:r>
      <w:r w:rsidR="00D41465">
        <w:t>incluront : le titre, le nom des auteurs,</w:t>
      </w:r>
      <w:r>
        <w:t xml:space="preserve"> </w:t>
      </w:r>
      <w:r w:rsidR="00D41465">
        <w:t>l’adresse de courriel et l’</w:t>
      </w:r>
      <w:r>
        <w:t>axe thématique</w:t>
      </w:r>
      <w:r w:rsidR="00D41465">
        <w:t xml:space="preserve">. </w:t>
      </w:r>
    </w:p>
    <w:p w14:paraId="15B444B0" w14:textId="5F42CFA7" w:rsidR="00333546" w:rsidRDefault="006D33CD" w:rsidP="006D33CD">
      <w:pPr>
        <w:jc w:val="both"/>
      </w:pPr>
      <w:r>
        <w:t xml:space="preserve">Les propositions devront être </w:t>
      </w:r>
      <w:r w:rsidRPr="004F4504">
        <w:t>envoyées</w:t>
      </w:r>
      <w:r w:rsidR="00D41465">
        <w:t>, au plus tard le 30 avril 2021,</w:t>
      </w:r>
      <w:r w:rsidR="003F733B">
        <w:t xml:space="preserve"> </w:t>
      </w:r>
      <w:r w:rsidR="004F4504">
        <w:t>à l’adresse suivante</w:t>
      </w:r>
      <w:r w:rsidR="003F733B">
        <w:t xml:space="preserve"> </w:t>
      </w:r>
      <w:r w:rsidR="004F4504">
        <w:t>:</w:t>
      </w:r>
      <w:r w:rsidR="00326337" w:rsidRPr="004F4504">
        <w:t xml:space="preserve"> </w:t>
      </w:r>
    </w:p>
    <w:p w14:paraId="35463762" w14:textId="5976B847" w:rsidR="006D33CD" w:rsidRDefault="004C0FA9" w:rsidP="006D33CD">
      <w:pPr>
        <w:jc w:val="both"/>
      </w:pPr>
      <w:hyperlink r:id="rId8" w:history="1">
        <w:r w:rsidR="00333546" w:rsidRPr="00333546">
          <w:rPr>
            <w:rStyle w:val="Lienhypertexte"/>
          </w:rPr>
          <w:t>colloquereseaucartotete@gmail.com</w:t>
        </w:r>
      </w:hyperlink>
      <w:r w:rsidR="00326337">
        <w:t xml:space="preserve"> </w:t>
      </w:r>
    </w:p>
    <w:p w14:paraId="3DEC5E7A" w14:textId="7CEF9FF5" w:rsidR="00333546" w:rsidRDefault="00333546" w:rsidP="006D33CD">
      <w:pPr>
        <w:jc w:val="both"/>
      </w:pPr>
      <w:r>
        <w:t>Les résumés seront anonymisés par le Comité d’organisation et envoyés pour évaluation aux relecteurs du Comité scientifique.</w:t>
      </w:r>
    </w:p>
    <w:p w14:paraId="69527244" w14:textId="3EB16604" w:rsidR="0079767F" w:rsidRPr="0079767F" w:rsidRDefault="0079767F" w:rsidP="006D33CD">
      <w:pPr>
        <w:jc w:val="both"/>
      </w:pPr>
      <w:r w:rsidRPr="004F4504">
        <w:t xml:space="preserve">Les </w:t>
      </w:r>
      <w:r w:rsidR="00D41465">
        <w:t>communications</w:t>
      </w:r>
      <w:r w:rsidR="00D41465" w:rsidRPr="004F4504">
        <w:t xml:space="preserve"> </w:t>
      </w:r>
      <w:r w:rsidRPr="004F4504">
        <w:t>accepté</w:t>
      </w:r>
      <w:r w:rsidR="00D41465">
        <w:t>e</w:t>
      </w:r>
      <w:r w:rsidRPr="004F4504">
        <w:t>s seront p</w:t>
      </w:r>
      <w:r w:rsidRPr="00326337">
        <w:t>ublié</w:t>
      </w:r>
      <w:r w:rsidR="003F733B">
        <w:t>e</w:t>
      </w:r>
      <w:r w:rsidR="00D918BC">
        <w:t>s</w:t>
      </w:r>
    </w:p>
    <w:p w14:paraId="61C77A40" w14:textId="77777777" w:rsidR="006D33CD" w:rsidRPr="0079767F" w:rsidRDefault="006D33CD" w:rsidP="00F76D35">
      <w:pPr>
        <w:jc w:val="both"/>
        <w:rPr>
          <w:u w:val="single"/>
        </w:rPr>
      </w:pPr>
    </w:p>
    <w:p w14:paraId="3CA9C650" w14:textId="36998B0B" w:rsidR="00A62965" w:rsidRDefault="000159BE" w:rsidP="00F76D35">
      <w:pPr>
        <w:jc w:val="both"/>
        <w:rPr>
          <w:b/>
        </w:rPr>
      </w:pPr>
      <w:r w:rsidRPr="00326337">
        <w:rPr>
          <w:b/>
        </w:rPr>
        <w:t>Comité d’organisation</w:t>
      </w:r>
    </w:p>
    <w:p w14:paraId="5151D5AA" w14:textId="77777777" w:rsidR="00F91603" w:rsidRPr="00B22F9A" w:rsidRDefault="00F91603" w:rsidP="00F91603">
      <w:pPr>
        <w:spacing w:after="120" w:line="240" w:lineRule="auto"/>
        <w:jc w:val="both"/>
        <w:rPr>
          <w:lang w:val="it-IT"/>
        </w:rPr>
      </w:pPr>
      <w:r w:rsidRPr="004F4504">
        <w:rPr>
          <w:bCs/>
          <w:lang w:val="it-IT"/>
        </w:rPr>
        <w:t xml:space="preserve">Stefania Mangano, </w:t>
      </w:r>
      <w:r w:rsidRPr="00B22F9A">
        <w:rPr>
          <w:lang w:val="it-IT"/>
        </w:rPr>
        <w:t xml:space="preserve">Dipartimento di Scienze Politiche - </w:t>
      </w:r>
      <w:r>
        <w:rPr>
          <w:lang w:val="it-IT"/>
        </w:rPr>
        <w:t>DISPO</w:t>
      </w:r>
      <w:r w:rsidRPr="00B22F9A">
        <w:rPr>
          <w:lang w:val="it-IT"/>
        </w:rPr>
        <w:t>, Université de Gênes</w:t>
      </w:r>
      <w:r>
        <w:rPr>
          <w:lang w:val="it-IT"/>
        </w:rPr>
        <w:t>, Italie</w:t>
      </w:r>
      <w:r w:rsidRPr="00B22F9A">
        <w:rPr>
          <w:lang w:val="it-IT"/>
        </w:rPr>
        <w:t>.</w:t>
      </w:r>
    </w:p>
    <w:p w14:paraId="4D7FFF6C" w14:textId="3C3E7777" w:rsidR="00F91603" w:rsidRDefault="00F91603" w:rsidP="00F91603">
      <w:pPr>
        <w:spacing w:after="120" w:line="240" w:lineRule="auto"/>
        <w:jc w:val="both"/>
        <w:rPr>
          <w:lang w:val="it-IT"/>
        </w:rPr>
      </w:pPr>
      <w:r>
        <w:rPr>
          <w:bCs/>
          <w:lang w:val="it-IT"/>
        </w:rPr>
        <w:t xml:space="preserve">Pietro Piana, </w:t>
      </w:r>
      <w:r w:rsidRPr="00B22F9A">
        <w:rPr>
          <w:lang w:val="it-IT"/>
        </w:rPr>
        <w:t xml:space="preserve">Dipartimento di Scienze Politiche - </w:t>
      </w:r>
      <w:r>
        <w:rPr>
          <w:lang w:val="it-IT"/>
        </w:rPr>
        <w:t>DISPO</w:t>
      </w:r>
      <w:r w:rsidRPr="00B22F9A">
        <w:rPr>
          <w:lang w:val="it-IT"/>
        </w:rPr>
        <w:t>, Université de Gênes</w:t>
      </w:r>
      <w:r>
        <w:rPr>
          <w:lang w:val="it-IT"/>
        </w:rPr>
        <w:t>, Italie</w:t>
      </w:r>
      <w:r w:rsidRPr="00B22F9A">
        <w:rPr>
          <w:lang w:val="it-IT"/>
        </w:rPr>
        <w:t>.</w:t>
      </w:r>
    </w:p>
    <w:p w14:paraId="4379DA2F" w14:textId="158D8089" w:rsidR="00F91603" w:rsidRDefault="00F91603" w:rsidP="00F91603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Eleonora Panizza, </w:t>
      </w:r>
      <w:r w:rsidRPr="00B22F9A">
        <w:rPr>
          <w:lang w:val="it-IT"/>
        </w:rPr>
        <w:t xml:space="preserve">Dipartimento di Scienze Politiche - </w:t>
      </w:r>
      <w:r>
        <w:rPr>
          <w:lang w:val="it-IT"/>
        </w:rPr>
        <w:t>DISPO</w:t>
      </w:r>
      <w:r w:rsidRPr="00B22F9A">
        <w:rPr>
          <w:lang w:val="it-IT"/>
        </w:rPr>
        <w:t>, Université de Gênes</w:t>
      </w:r>
      <w:r>
        <w:rPr>
          <w:lang w:val="it-IT"/>
        </w:rPr>
        <w:t>, Italie</w:t>
      </w:r>
      <w:r w:rsidRPr="00B22F9A">
        <w:rPr>
          <w:lang w:val="it-IT"/>
        </w:rPr>
        <w:t>.</w:t>
      </w:r>
    </w:p>
    <w:p w14:paraId="404F179E" w14:textId="77777777" w:rsidR="00F91603" w:rsidRDefault="00F91603" w:rsidP="00F91603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Rebekka Dossche, </w:t>
      </w:r>
      <w:r w:rsidR="004C0FA9">
        <w:fldChar w:fldCharType="begin"/>
      </w:r>
      <w:r w:rsidR="004C0FA9">
        <w:instrText xml:space="preserve"> HYPERLINK "https://rubrica.unige.it/strutture/struttura/100016" </w:instrText>
      </w:r>
      <w:r w:rsidR="004C0FA9">
        <w:fldChar w:fldCharType="separate"/>
      </w:r>
      <w:r w:rsidRPr="00B22F9A">
        <w:rPr>
          <w:lang w:val="it-IT"/>
        </w:rPr>
        <w:t>Dipartimento di antichità, filosofia e storia - DAFIST</w:t>
      </w:r>
      <w:r w:rsidR="004C0FA9">
        <w:rPr>
          <w:lang w:val="it-IT"/>
        </w:rPr>
        <w:fldChar w:fldCharType="end"/>
      </w:r>
      <w:r w:rsidRPr="00B22F9A">
        <w:rPr>
          <w:lang w:val="it-IT"/>
        </w:rPr>
        <w:t>, Université de Gênes, Italie.</w:t>
      </w:r>
    </w:p>
    <w:p w14:paraId="7088BF4A" w14:textId="702D8864" w:rsidR="00F91603" w:rsidRPr="00B22F9A" w:rsidRDefault="00F91603" w:rsidP="00F91603">
      <w:pPr>
        <w:spacing w:after="120" w:line="240" w:lineRule="auto"/>
        <w:jc w:val="both"/>
        <w:rPr>
          <w:lang w:val="it-IT"/>
        </w:rPr>
      </w:pPr>
      <w:r>
        <w:rPr>
          <w:lang w:val="it-IT"/>
        </w:rPr>
        <w:t xml:space="preserve">Cristina Marchioro, </w:t>
      </w:r>
      <w:r w:rsidR="004C0FA9">
        <w:fldChar w:fldCharType="begin"/>
      </w:r>
      <w:r w:rsidR="004C0FA9">
        <w:instrText xml:space="preserve"> HYPERLINK "https://rubrica.unige.it/strutture/struttura/100016" </w:instrText>
      </w:r>
      <w:r w:rsidR="004C0FA9">
        <w:fldChar w:fldCharType="separate"/>
      </w:r>
      <w:r w:rsidRPr="00B22F9A">
        <w:rPr>
          <w:lang w:val="it-IT"/>
        </w:rPr>
        <w:t>Dipartimento di antichità, filosofia e storia - DAFIST</w:t>
      </w:r>
      <w:r w:rsidR="004C0FA9">
        <w:rPr>
          <w:lang w:val="it-IT"/>
        </w:rPr>
        <w:fldChar w:fldCharType="end"/>
      </w:r>
      <w:r w:rsidRPr="00B22F9A">
        <w:rPr>
          <w:lang w:val="it-IT"/>
        </w:rPr>
        <w:t>, Université de Gênes, Italie.</w:t>
      </w:r>
      <w:r>
        <w:rPr>
          <w:lang w:val="it-IT"/>
        </w:rPr>
        <w:t xml:space="preserve"> </w:t>
      </w:r>
    </w:p>
    <w:p w14:paraId="3B77FFCF" w14:textId="07AE7BF8" w:rsidR="00F91603" w:rsidRDefault="00F91603" w:rsidP="00F76D35">
      <w:pPr>
        <w:jc w:val="both"/>
        <w:rPr>
          <w:lang w:val="it-IT"/>
        </w:rPr>
      </w:pPr>
      <w:r>
        <w:rPr>
          <w:bCs/>
          <w:lang w:val="it-IT"/>
        </w:rPr>
        <w:t xml:space="preserve">Lorenzo Brocada, </w:t>
      </w:r>
      <w:r w:rsidR="004C0FA9">
        <w:fldChar w:fldCharType="begin"/>
      </w:r>
      <w:r w:rsidR="004C0FA9">
        <w:instrText xml:space="preserve"> HYPERLINK "https://rubrica.unige.it/strutture/struttura/100016" </w:instrText>
      </w:r>
      <w:r w:rsidR="004C0FA9">
        <w:fldChar w:fldCharType="separate"/>
      </w:r>
      <w:r w:rsidRPr="00B22F9A">
        <w:rPr>
          <w:lang w:val="it-IT"/>
        </w:rPr>
        <w:t>Dipartimento di antichità, filosofia e storia - DAFIST</w:t>
      </w:r>
      <w:r w:rsidR="004C0FA9">
        <w:rPr>
          <w:lang w:val="it-IT"/>
        </w:rPr>
        <w:fldChar w:fldCharType="end"/>
      </w:r>
      <w:r w:rsidRPr="00B22F9A">
        <w:rPr>
          <w:lang w:val="it-IT"/>
        </w:rPr>
        <w:t>, Université de Gênes, Italie.</w:t>
      </w:r>
    </w:p>
    <w:p w14:paraId="4BD68F31" w14:textId="028E41B2" w:rsidR="00976DC7" w:rsidRPr="00976DC7" w:rsidRDefault="00976DC7" w:rsidP="00F76D35">
      <w:pPr>
        <w:jc w:val="both"/>
        <w:rPr>
          <w:lang w:val="it-IT"/>
        </w:rPr>
      </w:pPr>
      <w:r>
        <w:rPr>
          <w:lang w:val="it-IT"/>
        </w:rPr>
        <w:t xml:space="preserve">Orietta Gattulli, </w:t>
      </w:r>
      <w:r w:rsidRPr="00A85ACF">
        <w:rPr>
          <w:lang w:val="it-IT"/>
        </w:rPr>
        <w:t>Laboratorio</w:t>
      </w:r>
      <w:r>
        <w:rPr>
          <w:lang w:val="it-IT"/>
        </w:rPr>
        <w:t xml:space="preserve"> </w:t>
      </w:r>
      <w:r w:rsidRPr="004F4504">
        <w:rPr>
          <w:lang w:val="it-IT"/>
        </w:rPr>
        <w:t>CRAFTS (Centro studi urbani, territoriali e sociali), Genoa, Ital</w:t>
      </w:r>
      <w:r>
        <w:rPr>
          <w:lang w:val="it-IT"/>
        </w:rPr>
        <w:t>ie</w:t>
      </w:r>
    </w:p>
    <w:p w14:paraId="27CF0258" w14:textId="77777777" w:rsidR="004C58E6" w:rsidRPr="004F4504" w:rsidRDefault="004C58E6" w:rsidP="00F76D35">
      <w:pPr>
        <w:jc w:val="both"/>
        <w:rPr>
          <w:lang w:val="it-IT"/>
        </w:rPr>
      </w:pPr>
    </w:p>
    <w:p w14:paraId="4B99B246" w14:textId="77777777" w:rsidR="000159BE" w:rsidRPr="006D33CD" w:rsidRDefault="000159BE" w:rsidP="00F76D35">
      <w:pPr>
        <w:jc w:val="both"/>
        <w:rPr>
          <w:b/>
        </w:rPr>
      </w:pPr>
      <w:r w:rsidRPr="00BD5D6E">
        <w:rPr>
          <w:b/>
        </w:rPr>
        <w:t>Comité scientifique</w:t>
      </w:r>
    </w:p>
    <w:p w14:paraId="62590C22" w14:textId="77777777" w:rsidR="004C58E6" w:rsidRDefault="004C58E6" w:rsidP="006D33CD">
      <w:pPr>
        <w:spacing w:after="120" w:line="240" w:lineRule="auto"/>
        <w:jc w:val="both"/>
      </w:pPr>
      <w:r>
        <w:t>Sandra Breux</w:t>
      </w:r>
      <w:r w:rsidR="001B4494">
        <w:t xml:space="preserve">, </w:t>
      </w:r>
      <w:r w:rsidR="00F401FA">
        <w:t>Laboratoire sur les élections locales, INRS, Montréal, Canada.</w:t>
      </w:r>
    </w:p>
    <w:p w14:paraId="0D3352FD" w14:textId="77777777" w:rsidR="004C58E6" w:rsidRDefault="004C58E6" w:rsidP="006D33CD">
      <w:pPr>
        <w:spacing w:after="120" w:line="240" w:lineRule="auto"/>
        <w:jc w:val="both"/>
      </w:pPr>
      <w:r>
        <w:t>Anne-Christine Bronner</w:t>
      </w:r>
      <w:r w:rsidR="001B4494">
        <w:t xml:space="preserve">, UMR SAGE (Société, acteurs, gouvernement en Europe), CNRS- université de Strasbourg, </w:t>
      </w:r>
      <w:r w:rsidR="00F401FA">
        <w:t>France.</w:t>
      </w:r>
    </w:p>
    <w:p w14:paraId="05037733" w14:textId="77777777" w:rsidR="004C58E6" w:rsidRDefault="004C58E6" w:rsidP="006D33CD">
      <w:pPr>
        <w:spacing w:after="120" w:line="240" w:lineRule="auto"/>
        <w:jc w:val="both"/>
      </w:pPr>
      <w:r>
        <w:t xml:space="preserve">Kevin </w:t>
      </w:r>
      <w:proofErr w:type="spellStart"/>
      <w:r>
        <w:t>Clementi</w:t>
      </w:r>
      <w:proofErr w:type="spellEnd"/>
      <w:r w:rsidR="001B4494">
        <w:t xml:space="preserve">, UMR SAGE (Société, acteurs, gouvernement en Europe), CNRS- université de Strasbourg, </w:t>
      </w:r>
      <w:r w:rsidR="00F401FA">
        <w:t>France.</w:t>
      </w:r>
    </w:p>
    <w:p w14:paraId="71009759" w14:textId="77777777" w:rsidR="004C58E6" w:rsidRDefault="004C58E6" w:rsidP="006D33CD">
      <w:pPr>
        <w:spacing w:after="120" w:line="240" w:lineRule="auto"/>
        <w:jc w:val="both"/>
      </w:pPr>
      <w:r>
        <w:t>Pierre Dias</w:t>
      </w:r>
      <w:r w:rsidR="001B4494">
        <w:t xml:space="preserve">, UMR ESO (Espaces et sociétés), CNRS – Université de Rennes, </w:t>
      </w:r>
      <w:r w:rsidR="00F401FA">
        <w:t>France.</w:t>
      </w:r>
    </w:p>
    <w:p w14:paraId="3EBB1789" w14:textId="62A1B53C" w:rsidR="004C58E6" w:rsidRPr="004F4504" w:rsidRDefault="004C58E6" w:rsidP="006D33CD">
      <w:pPr>
        <w:spacing w:after="120" w:line="240" w:lineRule="auto"/>
        <w:jc w:val="both"/>
        <w:rPr>
          <w:lang w:val="it-IT"/>
        </w:rPr>
      </w:pPr>
      <w:r w:rsidRPr="004F4504">
        <w:rPr>
          <w:lang w:val="it-IT"/>
        </w:rPr>
        <w:t xml:space="preserve">Antida Gazzola, </w:t>
      </w:r>
      <w:r w:rsidR="00976DC7" w:rsidRPr="00A85ACF">
        <w:rPr>
          <w:lang w:val="it-IT"/>
        </w:rPr>
        <w:t>CRAFTS (Centro studi urbani, territoriali e sociali), Genoa, Ital</w:t>
      </w:r>
      <w:r w:rsidR="00976DC7">
        <w:rPr>
          <w:lang w:val="it-IT"/>
        </w:rPr>
        <w:t>ie</w:t>
      </w:r>
      <w:r w:rsidR="00976DC7" w:rsidRPr="004F4504" w:rsidDel="00BD5D6E">
        <w:rPr>
          <w:lang w:val="it-IT"/>
        </w:rPr>
        <w:t xml:space="preserve"> </w:t>
      </w:r>
      <w:r w:rsidR="00F401FA" w:rsidRPr="004F4504">
        <w:rPr>
          <w:lang w:val="it-IT"/>
        </w:rPr>
        <w:t>.</w:t>
      </w:r>
    </w:p>
    <w:p w14:paraId="2A82B352" w14:textId="77777777" w:rsidR="004C58E6" w:rsidRDefault="004C58E6" w:rsidP="006D33CD">
      <w:pPr>
        <w:spacing w:after="120" w:line="240" w:lineRule="auto"/>
        <w:jc w:val="both"/>
      </w:pPr>
      <w:r>
        <w:t>Sylvie Lardon</w:t>
      </w:r>
      <w:r w:rsidR="001B4494">
        <w:t xml:space="preserve">, UMR Territoires, INRAE – Université Blaise Pascal, Clermont-Ferrand, </w:t>
      </w:r>
      <w:r w:rsidR="00F401FA">
        <w:t>France.</w:t>
      </w:r>
    </w:p>
    <w:p w14:paraId="73260E61" w14:textId="43808C2A" w:rsidR="004C58E6" w:rsidRDefault="004C58E6" w:rsidP="006D33CD">
      <w:pPr>
        <w:spacing w:after="120" w:line="240" w:lineRule="auto"/>
        <w:jc w:val="both"/>
      </w:pPr>
      <w:r>
        <w:t>Sophie Mariani-Rousset</w:t>
      </w:r>
      <w:r w:rsidR="001B4494">
        <w:t>, laboratoire ELLIADD (Edition, langages, littérature</w:t>
      </w:r>
      <w:r w:rsidR="00F401FA">
        <w:t>s</w:t>
      </w:r>
      <w:r w:rsidR="001B4494">
        <w:t>, informatique, art</w:t>
      </w:r>
      <w:r w:rsidR="00F401FA">
        <w:t>s</w:t>
      </w:r>
      <w:r w:rsidR="001B4494">
        <w:t>,</w:t>
      </w:r>
      <w:r w:rsidR="00F401FA">
        <w:t xml:space="preserve"> didactiques, discours), Université de Franche-Comté, Besançon, France.</w:t>
      </w:r>
    </w:p>
    <w:p w14:paraId="160284EB" w14:textId="70B2A52F" w:rsidR="004C58E6" w:rsidRPr="004F4504" w:rsidRDefault="004C58E6" w:rsidP="006D33CD">
      <w:pPr>
        <w:spacing w:after="120" w:line="240" w:lineRule="auto"/>
        <w:jc w:val="both"/>
        <w:rPr>
          <w:lang w:val="it-IT"/>
        </w:rPr>
      </w:pPr>
      <w:r w:rsidRPr="004F4504">
        <w:rPr>
          <w:lang w:val="it-IT"/>
        </w:rPr>
        <w:t xml:space="preserve">Antonella Primi, </w:t>
      </w:r>
      <w:r w:rsidR="004C0FA9">
        <w:fldChar w:fldCharType="begin"/>
      </w:r>
      <w:r w:rsidR="004C0FA9">
        <w:instrText xml:space="preserve"> HYPERLINK "https://rubrica.unige.it/strutture/struttura/100016" </w:instrText>
      </w:r>
      <w:r w:rsidR="004C0FA9">
        <w:fldChar w:fldCharType="separate"/>
      </w:r>
      <w:r w:rsidR="00326337" w:rsidRPr="00B22F9A">
        <w:rPr>
          <w:lang w:val="it-IT"/>
        </w:rPr>
        <w:t>Dipartimento di antichità, filosofia e storia - DAFIST</w:t>
      </w:r>
      <w:r w:rsidR="004C0FA9">
        <w:rPr>
          <w:lang w:val="it-IT"/>
        </w:rPr>
        <w:fldChar w:fldCharType="end"/>
      </w:r>
      <w:r w:rsidR="00326337" w:rsidRPr="00B22F9A">
        <w:rPr>
          <w:lang w:val="it-IT"/>
        </w:rPr>
        <w:t>, Université de Gêne</w:t>
      </w:r>
      <w:r w:rsidR="00326337" w:rsidRPr="00326337">
        <w:rPr>
          <w:lang w:val="it-IT"/>
        </w:rPr>
        <w:t>s</w:t>
      </w:r>
      <w:r w:rsidR="001B4494" w:rsidRPr="004F4504">
        <w:rPr>
          <w:lang w:val="it-IT"/>
        </w:rPr>
        <w:t>, Italie</w:t>
      </w:r>
      <w:r w:rsidR="00F401FA" w:rsidRPr="004F4504">
        <w:rPr>
          <w:lang w:val="it-IT"/>
        </w:rPr>
        <w:t>.</w:t>
      </w:r>
    </w:p>
    <w:p w14:paraId="79B1F193" w14:textId="77777777" w:rsidR="001B4494" w:rsidRDefault="001B4494" w:rsidP="006D33CD">
      <w:pPr>
        <w:spacing w:after="120" w:line="240" w:lineRule="auto"/>
        <w:jc w:val="both"/>
      </w:pPr>
      <w:r>
        <w:t>Thierry Ramadier,</w:t>
      </w:r>
      <w:r w:rsidRPr="001B4494">
        <w:t xml:space="preserve"> </w:t>
      </w:r>
      <w:r>
        <w:t xml:space="preserve">UMR SAGE (Société, acteurs, gouvernement en Europe), CNRS- université de Strasbourg, </w:t>
      </w:r>
      <w:r w:rsidR="00F401FA">
        <w:t>France.</w:t>
      </w:r>
    </w:p>
    <w:p w14:paraId="703B2CB4" w14:textId="1077F144" w:rsidR="00B61DB3" w:rsidRPr="00B22F9A" w:rsidRDefault="00B61DB3" w:rsidP="00B61DB3">
      <w:pPr>
        <w:spacing w:after="120" w:line="240" w:lineRule="auto"/>
        <w:jc w:val="both"/>
        <w:rPr>
          <w:lang w:val="it-IT"/>
        </w:rPr>
      </w:pPr>
      <w:r w:rsidRPr="00B22F9A">
        <w:rPr>
          <w:lang w:val="it-IT"/>
        </w:rPr>
        <w:lastRenderedPageBreak/>
        <w:t xml:space="preserve">Mauro Spotorno, Dipartimento di Scienze Politiche - </w:t>
      </w:r>
      <w:r>
        <w:rPr>
          <w:lang w:val="it-IT"/>
        </w:rPr>
        <w:t>DISPO</w:t>
      </w:r>
      <w:r w:rsidRPr="00B22F9A">
        <w:rPr>
          <w:lang w:val="it-IT"/>
        </w:rPr>
        <w:t>, Université de Gênes</w:t>
      </w:r>
      <w:r w:rsidR="00BD5D6E">
        <w:rPr>
          <w:lang w:val="it-IT"/>
        </w:rPr>
        <w:t>, Italie</w:t>
      </w:r>
      <w:r w:rsidRPr="00B22F9A">
        <w:rPr>
          <w:lang w:val="it-IT"/>
        </w:rPr>
        <w:t>.</w:t>
      </w:r>
    </w:p>
    <w:p w14:paraId="65AD22EB" w14:textId="77777777" w:rsidR="006D33CD" w:rsidRPr="004F4504" w:rsidRDefault="006D33CD" w:rsidP="004F4504">
      <w:pPr>
        <w:spacing w:after="120" w:line="240" w:lineRule="auto"/>
        <w:jc w:val="both"/>
        <w:rPr>
          <w:b/>
          <w:lang w:val="it-IT"/>
        </w:rPr>
      </w:pPr>
    </w:p>
    <w:p w14:paraId="3E217088" w14:textId="77777777" w:rsidR="00F76D35" w:rsidRPr="00F76D35" w:rsidRDefault="00F76D35" w:rsidP="00F76D35">
      <w:pPr>
        <w:jc w:val="both"/>
        <w:rPr>
          <w:b/>
        </w:rPr>
      </w:pPr>
      <w:r w:rsidRPr="00F76D35">
        <w:rPr>
          <w:b/>
        </w:rPr>
        <w:t>Références</w:t>
      </w:r>
    </w:p>
    <w:bookmarkStart w:id="1" w:name="_Hlk60583814"/>
    <w:p w14:paraId="2E013C84" w14:textId="2575A5E6" w:rsidR="000002E4" w:rsidRPr="004F4504" w:rsidRDefault="000002E4">
      <w:pPr>
        <w:spacing w:after="0" w:line="240" w:lineRule="auto"/>
        <w:rPr>
          <w:rFonts w:eastAsia="Times New Roman" w:cstheme="minorHAnsi"/>
          <w:i/>
          <w:lang w:val="it-IT" w:eastAsia="it-IT"/>
        </w:rPr>
      </w:pPr>
      <w:r w:rsidRPr="00F4470B">
        <w:rPr>
          <w:rFonts w:cstheme="minorHAnsi"/>
        </w:rPr>
        <w:fldChar w:fldCharType="begin"/>
      </w:r>
      <w:r w:rsidRPr="00B77518">
        <w:rPr>
          <w:rFonts w:cstheme="minorHAnsi"/>
        </w:rPr>
        <w:instrText xml:space="preserve"> HYPERLINK "https://www.libreriauniversitaria.it/libri-autore_bonnes+mirilia-mirilia_bonnes.htm" \o "Mirilia Bonnes" </w:instrText>
      </w:r>
      <w:r w:rsidRPr="00F4470B">
        <w:rPr>
          <w:rFonts w:cstheme="minorHAnsi"/>
        </w:rPr>
        <w:fldChar w:fldCharType="separate"/>
      </w:r>
      <w:r w:rsidRPr="00B77518">
        <w:rPr>
          <w:rFonts w:eastAsia="Times New Roman" w:cstheme="minorHAnsi"/>
          <w:lang w:eastAsia="it-IT"/>
        </w:rPr>
        <w:t>Bonnes</w:t>
      </w:r>
      <w:r w:rsidRPr="00F4470B">
        <w:rPr>
          <w:rFonts w:eastAsia="Times New Roman" w:cstheme="minorHAnsi"/>
          <w:lang w:eastAsia="it-IT"/>
        </w:rPr>
        <w:fldChar w:fldCharType="end"/>
      </w:r>
      <w:r w:rsidRPr="00B77518">
        <w:rPr>
          <w:rFonts w:eastAsia="Times New Roman" w:cstheme="minorHAnsi"/>
          <w:lang w:eastAsia="it-IT"/>
        </w:rPr>
        <w:t xml:space="preserve"> M., </w:t>
      </w:r>
      <w:proofErr w:type="spellStart"/>
      <w:r w:rsidR="004C0FA9">
        <w:fldChar w:fldCharType="begin"/>
      </w:r>
      <w:r w:rsidR="004C0FA9">
        <w:instrText xml:space="preserve"> HYPERLINK "https://www.libreriauniversitaria.it/libri-autore_secchiaroli+gianfranco-gianfranco_secchiaroli.htm" \o "Gianfranco Secchiaroli" </w:instrText>
      </w:r>
      <w:r w:rsidR="004C0FA9">
        <w:fldChar w:fldCharType="separate"/>
      </w:r>
      <w:r w:rsidRPr="00B77518">
        <w:rPr>
          <w:rFonts w:eastAsia="Times New Roman" w:cstheme="minorHAnsi"/>
          <w:lang w:eastAsia="it-IT"/>
        </w:rPr>
        <w:t>Secchiaroli</w:t>
      </w:r>
      <w:proofErr w:type="spellEnd"/>
      <w:r w:rsidR="004C0FA9">
        <w:rPr>
          <w:rFonts w:eastAsia="Times New Roman" w:cstheme="minorHAnsi"/>
          <w:lang w:eastAsia="it-IT"/>
        </w:rPr>
        <w:fldChar w:fldCharType="end"/>
      </w:r>
      <w:r w:rsidRPr="00B77518">
        <w:rPr>
          <w:rFonts w:eastAsia="Times New Roman" w:cstheme="minorHAnsi"/>
          <w:lang w:eastAsia="it-IT"/>
        </w:rPr>
        <w:t xml:space="preserve">  G. (2995). </w:t>
      </w:r>
      <w:hyperlink r:id="rId9" w:tooltip="Psicologia ambientale. Introduzione alla psicologia sociale e ambientale" w:history="1">
        <w:r w:rsidRPr="004F4504">
          <w:rPr>
            <w:rFonts w:eastAsia="Times New Roman" w:cstheme="minorHAnsi"/>
            <w:bCs/>
            <w:i/>
            <w:lang w:val="it-IT" w:eastAsia="it-IT"/>
          </w:rPr>
          <w:t>Psicologia ambientale. Introduzione alla psicologia sociale e ambientale</w:t>
        </w:r>
      </w:hyperlink>
      <w:r w:rsidRPr="004F4504">
        <w:rPr>
          <w:rFonts w:eastAsia="Times New Roman" w:cstheme="minorHAnsi"/>
          <w:lang w:val="it-IT" w:eastAsia="it-IT"/>
        </w:rPr>
        <w:t>, Carocci, Roma, 1992; engl. ed.,</w:t>
      </w:r>
      <w:r w:rsidRPr="004F4504">
        <w:rPr>
          <w:rFonts w:eastAsia="Times New Roman" w:cstheme="minorHAnsi"/>
          <w:bCs/>
          <w:i/>
          <w:kern w:val="36"/>
          <w:lang w:val="it-IT" w:eastAsia="it-IT"/>
        </w:rPr>
        <w:t>Environmental Psychology: A Psycho-social Introduction,</w:t>
      </w:r>
      <w:r w:rsidRPr="004F4504">
        <w:rPr>
          <w:rFonts w:eastAsia="Times New Roman" w:cstheme="minorHAnsi"/>
          <w:i/>
          <w:lang w:val="it-IT" w:eastAsia="it-IT"/>
        </w:rPr>
        <w:t xml:space="preserve"> </w:t>
      </w:r>
      <w:hyperlink r:id="rId10" w:history="1">
        <w:r w:rsidRPr="004F4504">
          <w:rPr>
            <w:rFonts w:eastAsia="Times New Roman" w:cstheme="minorHAnsi"/>
            <w:lang w:val="it-IT" w:eastAsia="it-IT"/>
          </w:rPr>
          <w:t>SAGE Publications Ltd</w:t>
        </w:r>
      </w:hyperlink>
      <w:r>
        <w:rPr>
          <w:rFonts w:eastAsia="Times New Roman" w:cstheme="minorHAnsi"/>
          <w:lang w:val="it-IT" w:eastAsia="it-IT"/>
        </w:rPr>
        <w:t>.</w:t>
      </w:r>
    </w:p>
    <w:bookmarkEnd w:id="1"/>
    <w:p w14:paraId="57E2AC85" w14:textId="77777777" w:rsidR="000002E4" w:rsidRPr="004F4504" w:rsidRDefault="000002E4">
      <w:pPr>
        <w:spacing w:line="240" w:lineRule="auto"/>
        <w:jc w:val="both"/>
        <w:rPr>
          <w:rStyle w:val="nomauteur"/>
          <w:lang w:val="it-IT"/>
        </w:rPr>
      </w:pPr>
    </w:p>
    <w:p w14:paraId="00280A4B" w14:textId="77777777" w:rsidR="00163C95" w:rsidRDefault="00B149CA" w:rsidP="00163C95">
      <w:pPr>
        <w:spacing w:line="240" w:lineRule="auto"/>
        <w:jc w:val="both"/>
        <w:rPr>
          <w:rStyle w:val="nomauteur"/>
        </w:rPr>
      </w:pPr>
      <w:proofErr w:type="spellStart"/>
      <w:r w:rsidRPr="00B77518">
        <w:rPr>
          <w:rStyle w:val="nomauteur"/>
        </w:rPr>
        <w:t>Bonvalet</w:t>
      </w:r>
      <w:proofErr w:type="spellEnd"/>
      <w:r w:rsidRPr="00B77518">
        <w:rPr>
          <w:rStyle w:val="nomauteur"/>
        </w:rPr>
        <w:t xml:space="preserve">, C. (1993). </w:t>
      </w:r>
      <w:r w:rsidRPr="00B149CA">
        <w:rPr>
          <w:rStyle w:val="nomauteur"/>
        </w:rPr>
        <w:t xml:space="preserve">Le transmis et l'acquis : localisation, statut </w:t>
      </w:r>
      <w:r>
        <w:rPr>
          <w:rStyle w:val="nomauteur"/>
        </w:rPr>
        <w:t>d'occupation et type d'habitat</w:t>
      </w:r>
      <w:r w:rsidRPr="00B149CA">
        <w:rPr>
          <w:rStyle w:val="nomauteur"/>
        </w:rPr>
        <w:t>,</w:t>
      </w:r>
      <w:r>
        <w:rPr>
          <w:rStyle w:val="nomauteur"/>
        </w:rPr>
        <w:t xml:space="preserve"> In </w:t>
      </w:r>
      <w:r w:rsidRPr="00B149CA">
        <w:rPr>
          <w:rStyle w:val="nomauteur"/>
        </w:rPr>
        <w:t xml:space="preserve">C. </w:t>
      </w:r>
      <w:proofErr w:type="spellStart"/>
      <w:r w:rsidRPr="00B149CA">
        <w:rPr>
          <w:rStyle w:val="nomauteur"/>
        </w:rPr>
        <w:t>Bonvalet</w:t>
      </w:r>
      <w:proofErr w:type="spellEnd"/>
      <w:r w:rsidRPr="00B149CA">
        <w:rPr>
          <w:rStyle w:val="nomauteur"/>
        </w:rPr>
        <w:t xml:space="preserve"> et A. </w:t>
      </w:r>
      <w:proofErr w:type="spellStart"/>
      <w:r w:rsidRPr="00B149CA">
        <w:rPr>
          <w:rStyle w:val="nomauteur"/>
        </w:rPr>
        <w:t>Gotman</w:t>
      </w:r>
      <w:proofErr w:type="spellEnd"/>
      <w:r>
        <w:rPr>
          <w:rStyle w:val="nomauteur"/>
        </w:rPr>
        <w:t xml:space="preserve"> (</w:t>
      </w:r>
      <w:proofErr w:type="spellStart"/>
      <w:r>
        <w:rPr>
          <w:rStyle w:val="nomauteur"/>
        </w:rPr>
        <w:t>eds</w:t>
      </w:r>
      <w:proofErr w:type="spellEnd"/>
      <w:r>
        <w:rPr>
          <w:rStyle w:val="nomauteur"/>
        </w:rPr>
        <w:t>.),</w:t>
      </w:r>
      <w:r w:rsidRPr="00B149CA">
        <w:rPr>
          <w:rStyle w:val="nomauteur"/>
        </w:rPr>
        <w:t xml:space="preserve"> </w:t>
      </w:r>
      <w:r w:rsidRPr="00B149CA">
        <w:rPr>
          <w:rStyle w:val="nomauteur"/>
          <w:i/>
        </w:rPr>
        <w:t>Le logement, une affaire de famille</w:t>
      </w:r>
      <w:r>
        <w:rPr>
          <w:rStyle w:val="nomauteur"/>
        </w:rPr>
        <w:t>,</w:t>
      </w:r>
      <w:r w:rsidRPr="00B149CA">
        <w:rPr>
          <w:rStyle w:val="nomauteur"/>
        </w:rPr>
        <w:t xml:space="preserve"> Paris, </w:t>
      </w:r>
      <w:proofErr w:type="spellStart"/>
      <w:r w:rsidRPr="00B149CA">
        <w:rPr>
          <w:rStyle w:val="nomauteur"/>
        </w:rPr>
        <w:t>L’Harmattan</w:t>
      </w:r>
      <w:proofErr w:type="spellEnd"/>
      <w:r w:rsidRPr="00B149CA">
        <w:rPr>
          <w:rStyle w:val="nomauteur"/>
        </w:rPr>
        <w:t>, p. 23-40</w:t>
      </w:r>
      <w:r>
        <w:rPr>
          <w:rStyle w:val="nomauteur"/>
        </w:rPr>
        <w:t>.</w:t>
      </w:r>
    </w:p>
    <w:p w14:paraId="701CD655" w14:textId="3E593A8D" w:rsidR="00163C95" w:rsidRDefault="00953C21" w:rsidP="004F4504">
      <w:pPr>
        <w:spacing w:line="240" w:lineRule="auto"/>
        <w:jc w:val="both"/>
        <w:rPr>
          <w:rStyle w:val="nomauteur"/>
          <w:rFonts w:cstheme="minorHAnsi"/>
          <w:lang w:val="it-IT"/>
        </w:rPr>
      </w:pPr>
      <w:r w:rsidRPr="004F4504">
        <w:rPr>
          <w:rStyle w:val="nomauteur"/>
          <w:rFonts w:cstheme="minorHAnsi"/>
          <w:lang w:val="it-IT"/>
        </w:rPr>
        <w:t>Casti E. (2019</w:t>
      </w:r>
      <w:r w:rsidRPr="004F4504">
        <w:rPr>
          <w:rStyle w:val="nomauteur"/>
          <w:rFonts w:cstheme="minorHAnsi"/>
          <w:i/>
          <w:iCs/>
          <w:lang w:val="it-IT"/>
        </w:rPr>
        <w:t>), Cartografia critica. Dal topos alla chora</w:t>
      </w:r>
      <w:r w:rsidR="004D2191">
        <w:rPr>
          <w:rStyle w:val="nomauteur"/>
          <w:rFonts w:cstheme="minorHAnsi"/>
          <w:lang w:val="it-IT"/>
        </w:rPr>
        <w:t xml:space="preserve">, </w:t>
      </w:r>
      <w:r w:rsidRPr="004F4504">
        <w:rPr>
          <w:rStyle w:val="nomauteur"/>
          <w:rFonts w:cstheme="minorHAnsi"/>
          <w:lang w:val="it-IT"/>
        </w:rPr>
        <w:t>Milano, Guerini e Associati.</w:t>
      </w:r>
    </w:p>
    <w:p w14:paraId="4650F001" w14:textId="59320CAB" w:rsidR="007A31EE" w:rsidRPr="004D2191" w:rsidRDefault="004C0FA9" w:rsidP="004F4504">
      <w:pPr>
        <w:spacing w:after="100" w:afterAutospacing="1" w:line="240" w:lineRule="auto"/>
        <w:jc w:val="both"/>
        <w:rPr>
          <w:rFonts w:eastAsia="Times New Roman" w:cstheme="minorHAnsi"/>
          <w:lang w:val="it-IT" w:eastAsia="it-IT"/>
        </w:rPr>
      </w:pPr>
      <w:hyperlink r:id="rId11" w:tooltip="Ferdinando Fornara" w:history="1">
        <w:r w:rsidR="007A31EE" w:rsidRPr="004F4504">
          <w:rPr>
            <w:rFonts w:eastAsia="Times New Roman" w:cstheme="minorHAnsi"/>
            <w:lang w:val="it-IT" w:eastAsia="it-IT"/>
          </w:rPr>
          <w:t>Fornara</w:t>
        </w:r>
      </w:hyperlink>
      <w:r w:rsidR="007A31EE" w:rsidRPr="004F4504">
        <w:rPr>
          <w:rFonts w:eastAsia="Times New Roman" w:cstheme="minorHAnsi"/>
          <w:lang w:val="it-IT" w:eastAsia="it-IT"/>
        </w:rPr>
        <w:t xml:space="preserve"> F., </w:t>
      </w:r>
      <w:r>
        <w:fldChar w:fldCharType="begin"/>
      </w:r>
      <w:r>
        <w:instrText xml:space="preserve"> HYPERLINK "https://www.libreriauniversitaria.it/libri-autore_bonaiuto+marino-marino_bonaiuto.htm" \o "Marino Bonaiuto" </w:instrText>
      </w:r>
      <w:r>
        <w:fldChar w:fldCharType="separate"/>
      </w:r>
      <w:r w:rsidR="007A31EE" w:rsidRPr="004F4504">
        <w:rPr>
          <w:rFonts w:eastAsia="Times New Roman" w:cstheme="minorHAnsi"/>
          <w:lang w:val="it-IT" w:eastAsia="it-IT"/>
        </w:rPr>
        <w:t>Bonaiuto</w:t>
      </w:r>
      <w:r>
        <w:rPr>
          <w:rFonts w:eastAsia="Times New Roman" w:cstheme="minorHAnsi"/>
          <w:lang w:val="it-IT" w:eastAsia="it-IT"/>
        </w:rPr>
        <w:fldChar w:fldCharType="end"/>
      </w:r>
      <w:r w:rsidR="007A31EE" w:rsidRPr="004F4504">
        <w:rPr>
          <w:rFonts w:eastAsia="Times New Roman" w:cstheme="minorHAnsi"/>
          <w:lang w:val="it-IT" w:eastAsia="it-IT"/>
        </w:rPr>
        <w:t xml:space="preserve"> M., </w:t>
      </w:r>
      <w:r>
        <w:fldChar w:fldCharType="begin"/>
      </w:r>
      <w:r>
        <w:instrText xml:space="preserve"> HYPERLINK "https://www.libreriauniversitaria.it/libri-autore_bon</w:instrText>
      </w:r>
      <w:r>
        <w:instrText xml:space="preserve">nes+mirilia-mirilia_bonnes.htm" \o "Mirilia Bonnes" </w:instrText>
      </w:r>
      <w:r>
        <w:fldChar w:fldCharType="separate"/>
      </w:r>
      <w:r w:rsidR="007A31EE" w:rsidRPr="004F4504">
        <w:rPr>
          <w:rFonts w:eastAsia="Times New Roman" w:cstheme="minorHAnsi"/>
          <w:lang w:val="it-IT" w:eastAsia="it-IT"/>
        </w:rPr>
        <w:t>Bonnes</w:t>
      </w:r>
      <w:r>
        <w:rPr>
          <w:rFonts w:eastAsia="Times New Roman" w:cstheme="minorHAnsi"/>
          <w:lang w:val="it-IT" w:eastAsia="it-IT"/>
        </w:rPr>
        <w:fldChar w:fldCharType="end"/>
      </w:r>
      <w:r w:rsidR="007A31EE" w:rsidRPr="004F4504">
        <w:rPr>
          <w:rFonts w:eastAsia="Times New Roman" w:cstheme="minorHAnsi"/>
          <w:lang w:val="it-IT" w:eastAsia="it-IT"/>
        </w:rPr>
        <w:t>  M</w:t>
      </w:r>
      <w:r w:rsidR="007A31EE">
        <w:rPr>
          <w:rFonts w:eastAsia="Times New Roman" w:cstheme="minorHAnsi"/>
          <w:lang w:val="it-IT" w:eastAsia="it-IT"/>
        </w:rPr>
        <w:t>. (2010)</w:t>
      </w:r>
      <w:r w:rsidR="007A31EE" w:rsidRPr="004F4504">
        <w:rPr>
          <w:rFonts w:eastAsia="Times New Roman" w:cstheme="minorHAnsi"/>
          <w:i/>
          <w:lang w:val="it-IT" w:eastAsia="it-IT"/>
        </w:rPr>
        <w:t>. </w:t>
      </w:r>
      <w:r>
        <w:fldChar w:fldCharType="begin"/>
      </w:r>
      <w:r>
        <w:instrText xml:space="preserve"> HYPERLINK "https://www.libreriauniversitaria.it/indicatori-qualita-urbana-residenziale-percepita/libro/9788856824025" \o "Indicatori di qualita urbana residenziale percepita (IQURP)</w:instrText>
      </w:r>
      <w:r>
        <w:instrText xml:space="preserve">. Manuale d'uso di scale psicometriche per scopi di ricerca e applicativi" </w:instrText>
      </w:r>
      <w:r>
        <w:fldChar w:fldCharType="separate"/>
      </w:r>
      <w:r w:rsidR="007A31EE" w:rsidRPr="004F4504">
        <w:rPr>
          <w:rFonts w:eastAsia="Times New Roman" w:cstheme="minorHAnsi"/>
          <w:bCs/>
          <w:i/>
          <w:lang w:val="it-IT" w:eastAsia="it-IT"/>
        </w:rPr>
        <w:t>Indicatori di qualità urbana residenziale percepita (IQURP). Manuale d'uso di scale psicometriche per scopi di ricerca e applicativi</w:t>
      </w:r>
      <w:r>
        <w:rPr>
          <w:rFonts w:eastAsia="Times New Roman" w:cstheme="minorHAnsi"/>
          <w:bCs/>
          <w:i/>
          <w:lang w:val="it-IT" w:eastAsia="it-IT"/>
        </w:rPr>
        <w:fldChar w:fldCharType="end"/>
      </w:r>
      <w:r w:rsidR="004D2191">
        <w:rPr>
          <w:rFonts w:eastAsia="Times New Roman" w:cstheme="minorHAnsi"/>
          <w:lang w:val="it-IT" w:eastAsia="it-IT"/>
        </w:rPr>
        <w:t>,</w:t>
      </w:r>
      <w:r w:rsidR="007A31EE" w:rsidRPr="004F4504">
        <w:rPr>
          <w:rFonts w:eastAsia="Times New Roman" w:cstheme="minorHAnsi"/>
          <w:lang w:val="it-IT" w:eastAsia="it-IT"/>
        </w:rPr>
        <w:t xml:space="preserve"> </w:t>
      </w:r>
      <w:r w:rsidR="007A31EE" w:rsidRPr="004D2191">
        <w:rPr>
          <w:rFonts w:eastAsia="Times New Roman" w:cstheme="minorHAnsi"/>
          <w:lang w:val="it-IT" w:eastAsia="it-IT"/>
        </w:rPr>
        <w:t>Milano</w:t>
      </w:r>
      <w:r w:rsidR="007A31EE" w:rsidRPr="004F4504">
        <w:rPr>
          <w:rFonts w:cstheme="minorHAnsi"/>
          <w:lang w:val="it-IT"/>
        </w:rPr>
        <w:t xml:space="preserve">, </w:t>
      </w:r>
      <w:hyperlink r:id="rId12" w:tooltip="Franco Angeli" w:history="1">
        <w:r w:rsidR="007A31EE" w:rsidRPr="004F4504">
          <w:rPr>
            <w:rFonts w:eastAsia="Times New Roman" w:cstheme="minorHAnsi"/>
            <w:lang w:val="it-IT" w:eastAsia="it-IT"/>
          </w:rPr>
          <w:t>Franco Angeli</w:t>
        </w:r>
      </w:hyperlink>
      <w:r w:rsidR="007A31EE" w:rsidRPr="004D2191">
        <w:rPr>
          <w:rFonts w:eastAsia="Times New Roman" w:cstheme="minorHAnsi"/>
          <w:lang w:val="it-IT" w:eastAsia="it-IT"/>
        </w:rPr>
        <w:t>.</w:t>
      </w:r>
    </w:p>
    <w:p w14:paraId="6D1A7773" w14:textId="6728F221" w:rsidR="004D2191" w:rsidRDefault="004D2191" w:rsidP="004F4504">
      <w:pPr>
        <w:spacing w:line="240" w:lineRule="auto"/>
        <w:jc w:val="both"/>
        <w:rPr>
          <w:rFonts w:eastAsia="Times New Roman" w:cstheme="minorHAnsi"/>
          <w:lang w:val="it-IT" w:eastAsia="it-IT"/>
        </w:rPr>
      </w:pPr>
      <w:r w:rsidRPr="004F4504">
        <w:rPr>
          <w:rFonts w:cstheme="minorHAnsi"/>
          <w:lang w:val="it-IT" w:eastAsia="it-IT"/>
        </w:rPr>
        <w:t>Gazzola A.</w:t>
      </w:r>
      <w:r>
        <w:rPr>
          <w:rFonts w:cstheme="minorHAnsi"/>
          <w:lang w:val="it-IT" w:eastAsia="it-IT"/>
        </w:rPr>
        <w:t xml:space="preserve"> (</w:t>
      </w:r>
      <w:r w:rsidRPr="007F5AEF">
        <w:rPr>
          <w:rFonts w:cstheme="minorHAnsi"/>
          <w:lang w:val="it-IT"/>
        </w:rPr>
        <w:t>2011</w:t>
      </w:r>
      <w:r>
        <w:rPr>
          <w:rFonts w:cstheme="minorHAnsi"/>
          <w:lang w:val="it-IT"/>
        </w:rPr>
        <w:t>)</w:t>
      </w:r>
      <w:r w:rsidRPr="004F4504">
        <w:rPr>
          <w:rFonts w:cstheme="minorHAnsi"/>
          <w:lang w:val="it-IT" w:eastAsia="it-IT"/>
        </w:rPr>
        <w:t xml:space="preserve">, </w:t>
      </w:r>
      <w:r w:rsidRPr="004F4504">
        <w:rPr>
          <w:rFonts w:cstheme="minorHAnsi"/>
          <w:i/>
          <w:lang w:val="it-IT"/>
        </w:rPr>
        <w:t>Uno sguardo diverso. La percezione sociale dell’ambiente naturale e costruito</w:t>
      </w:r>
      <w:r>
        <w:rPr>
          <w:rFonts w:cstheme="minorHAnsi"/>
          <w:lang w:val="it-IT"/>
        </w:rPr>
        <w:t xml:space="preserve">, </w:t>
      </w:r>
      <w:r w:rsidRPr="007F5AEF">
        <w:rPr>
          <w:rFonts w:cstheme="minorHAnsi"/>
          <w:lang w:val="it-IT"/>
        </w:rPr>
        <w:t>Milano</w:t>
      </w:r>
      <w:r>
        <w:rPr>
          <w:rFonts w:cstheme="minorHAnsi"/>
          <w:lang w:val="it-IT"/>
        </w:rPr>
        <w:t xml:space="preserve">, </w:t>
      </w:r>
      <w:r w:rsidRPr="004F4504">
        <w:rPr>
          <w:rFonts w:cstheme="minorHAnsi"/>
          <w:lang w:val="it-IT"/>
        </w:rPr>
        <w:t>Franco Angeli</w:t>
      </w:r>
      <w:r>
        <w:rPr>
          <w:rFonts w:cstheme="minorHAnsi"/>
          <w:lang w:val="it-IT"/>
        </w:rPr>
        <w:t xml:space="preserve">. </w:t>
      </w:r>
      <w:r w:rsidRPr="004F4504">
        <w:rPr>
          <w:rFonts w:cstheme="minorHAnsi"/>
          <w:lang w:val="it-IT"/>
        </w:rPr>
        <w:t xml:space="preserve"> </w:t>
      </w:r>
    </w:p>
    <w:p w14:paraId="6B09F682" w14:textId="77777777" w:rsidR="00B149CA" w:rsidRDefault="00B149CA">
      <w:pPr>
        <w:spacing w:line="240" w:lineRule="auto"/>
        <w:jc w:val="both"/>
        <w:rPr>
          <w:rStyle w:val="ouvrage"/>
          <w:lang w:val="en-US"/>
        </w:rPr>
      </w:pPr>
      <w:r w:rsidRPr="00717C24">
        <w:rPr>
          <w:rStyle w:val="nomauteur"/>
          <w:lang w:val="en-US"/>
        </w:rPr>
        <w:t>Hafting</w:t>
      </w:r>
      <w:r w:rsidRPr="00717C24">
        <w:rPr>
          <w:rStyle w:val="ouvrage"/>
          <w:lang w:val="en-US"/>
        </w:rPr>
        <w:t>,</w:t>
      </w:r>
      <w:r>
        <w:rPr>
          <w:rStyle w:val="ouvrage"/>
          <w:lang w:val="en-US"/>
        </w:rPr>
        <w:t xml:space="preserve"> T.,</w:t>
      </w:r>
      <w:r w:rsidRPr="00717C24">
        <w:rPr>
          <w:rStyle w:val="ouvrage"/>
          <w:lang w:val="en-US"/>
        </w:rPr>
        <w:t xml:space="preserve"> </w:t>
      </w:r>
      <w:proofErr w:type="spellStart"/>
      <w:proofErr w:type="gramStart"/>
      <w:r w:rsidRPr="00717C24">
        <w:rPr>
          <w:rStyle w:val="nomauteur"/>
          <w:lang w:val="en-US"/>
        </w:rPr>
        <w:t>Fyhn</w:t>
      </w:r>
      <w:proofErr w:type="spellEnd"/>
      <w:r w:rsidRPr="00717C24">
        <w:rPr>
          <w:rStyle w:val="ouvrage"/>
          <w:lang w:val="en-US"/>
        </w:rPr>
        <w:t>,</w:t>
      </w:r>
      <w:r>
        <w:rPr>
          <w:rStyle w:val="ouvrage"/>
          <w:lang w:val="en-US"/>
        </w:rPr>
        <w:t>,</w:t>
      </w:r>
      <w:proofErr w:type="gramEnd"/>
      <w:r>
        <w:rPr>
          <w:rStyle w:val="ouvrage"/>
          <w:lang w:val="en-US"/>
        </w:rPr>
        <w:t xml:space="preserve"> M.,</w:t>
      </w:r>
      <w:r w:rsidRPr="00717C24">
        <w:rPr>
          <w:rStyle w:val="ouvrage"/>
          <w:lang w:val="en-US"/>
        </w:rPr>
        <w:t xml:space="preserve"> </w:t>
      </w:r>
      <w:proofErr w:type="spellStart"/>
      <w:r w:rsidRPr="00717C24">
        <w:rPr>
          <w:rStyle w:val="nomauteur"/>
          <w:lang w:val="en-US"/>
        </w:rPr>
        <w:t>Molden</w:t>
      </w:r>
      <w:proofErr w:type="spellEnd"/>
      <w:r>
        <w:rPr>
          <w:rStyle w:val="nomauteur"/>
          <w:lang w:val="en-US"/>
        </w:rPr>
        <w:t>, S.</w:t>
      </w:r>
      <w:r w:rsidRPr="00717C24">
        <w:rPr>
          <w:rStyle w:val="ouvrage"/>
          <w:lang w:val="en-US"/>
        </w:rPr>
        <w:t xml:space="preserve"> et </w:t>
      </w:r>
      <w:r w:rsidRPr="00717C24">
        <w:rPr>
          <w:rStyle w:val="nomauteur"/>
          <w:lang w:val="en-US"/>
        </w:rPr>
        <w:t>Moser</w:t>
      </w:r>
      <w:r>
        <w:rPr>
          <w:rStyle w:val="nomauteur"/>
          <w:lang w:val="en-US"/>
        </w:rPr>
        <w:t xml:space="preserve"> M-B. </w:t>
      </w:r>
      <w:r w:rsidRPr="00F76D35">
        <w:rPr>
          <w:rStyle w:val="nomauteur"/>
          <w:lang w:val="en-US"/>
        </w:rPr>
        <w:t>(2005).</w:t>
      </w:r>
      <w:r w:rsidRPr="00F76D35">
        <w:rPr>
          <w:rStyle w:val="ouvrage"/>
          <w:lang w:val="en-US"/>
        </w:rPr>
        <w:t xml:space="preserve"> </w:t>
      </w:r>
      <w:r w:rsidRPr="00F76D35">
        <w:rPr>
          <w:rStyle w:val="CitationHTML"/>
          <w:i w:val="0"/>
          <w:iCs w:val="0"/>
          <w:lang w:val="en-US"/>
        </w:rPr>
        <w:t>Microstructure of a spatial map in the entorhinal cortex</w:t>
      </w:r>
      <w:r w:rsidRPr="00F76D35">
        <w:rPr>
          <w:rStyle w:val="ouvrage"/>
          <w:lang w:val="en-US"/>
        </w:rPr>
        <w:t xml:space="preserve">, </w:t>
      </w:r>
      <w:r w:rsidRPr="00F76D35">
        <w:rPr>
          <w:rStyle w:val="ouvrage"/>
          <w:i/>
          <w:iCs/>
          <w:lang w:val="en-US"/>
        </w:rPr>
        <w:t>Nature</w:t>
      </w:r>
      <w:r>
        <w:rPr>
          <w:rStyle w:val="ouvrage"/>
          <w:lang w:val="en-US"/>
        </w:rPr>
        <w:t>, 436,</w:t>
      </w:r>
      <w:r w:rsidRPr="00F76D35">
        <w:rPr>
          <w:rStyle w:val="ouvrage"/>
          <w:lang w:val="en-US"/>
        </w:rPr>
        <w:t> 801-806</w:t>
      </w:r>
      <w:r>
        <w:rPr>
          <w:rStyle w:val="ouvrage"/>
          <w:lang w:val="en-US"/>
        </w:rPr>
        <w:t>.</w:t>
      </w:r>
    </w:p>
    <w:p w14:paraId="7842C20C" w14:textId="77777777" w:rsidR="0043573E" w:rsidRPr="000159BE" w:rsidRDefault="0043573E">
      <w:pPr>
        <w:spacing w:line="240" w:lineRule="auto"/>
        <w:jc w:val="both"/>
        <w:rPr>
          <w:rStyle w:val="ouvrage"/>
        </w:rPr>
      </w:pPr>
      <w:r w:rsidRPr="000159BE">
        <w:rPr>
          <w:rStyle w:val="ouvrage"/>
        </w:rPr>
        <w:t xml:space="preserve">Halbwachs, M. (1941, 2008). </w:t>
      </w:r>
      <w:r w:rsidRPr="000159BE">
        <w:rPr>
          <w:rStyle w:val="ouvrage"/>
          <w:i/>
        </w:rPr>
        <w:t>La topographie légendaire des Évangiles en Terre sainte. Étude de mémoire collective</w:t>
      </w:r>
      <w:r w:rsidRPr="000159BE">
        <w:rPr>
          <w:rStyle w:val="ouvrage"/>
        </w:rPr>
        <w:t xml:space="preserve">, Paris, PUF. </w:t>
      </w:r>
    </w:p>
    <w:p w14:paraId="341B4B0F" w14:textId="77777777" w:rsidR="00B149CA" w:rsidRDefault="00B149CA">
      <w:pPr>
        <w:spacing w:after="100" w:afterAutospacing="1" w:line="240" w:lineRule="auto"/>
        <w:jc w:val="both"/>
        <w:rPr>
          <w:rStyle w:val="nomauteur"/>
          <w:lang w:val="en-US"/>
        </w:rPr>
      </w:pPr>
      <w:proofErr w:type="spellStart"/>
      <w:r>
        <w:rPr>
          <w:rStyle w:val="nomauteur"/>
        </w:rPr>
        <w:t>Ha</w:t>
      </w:r>
      <w:r w:rsidRPr="00054C4C">
        <w:rPr>
          <w:rStyle w:val="nomauteur"/>
        </w:rPr>
        <w:t>tlova</w:t>
      </w:r>
      <w:proofErr w:type="spellEnd"/>
      <w:r w:rsidRPr="00054C4C">
        <w:rPr>
          <w:rStyle w:val="nomauteur"/>
        </w:rPr>
        <w:t xml:space="preserve">, K. et </w:t>
      </w:r>
      <w:proofErr w:type="spellStart"/>
      <w:r w:rsidRPr="00054C4C">
        <w:rPr>
          <w:rStyle w:val="nomauteur"/>
        </w:rPr>
        <w:t>Hanus</w:t>
      </w:r>
      <w:proofErr w:type="spellEnd"/>
      <w:r w:rsidRPr="00054C4C">
        <w:rPr>
          <w:rStyle w:val="nomauteur"/>
        </w:rPr>
        <w:t>, M. (</w:t>
      </w:r>
      <w:r>
        <w:rPr>
          <w:rStyle w:val="nomauteur"/>
        </w:rPr>
        <w:t xml:space="preserve">2020). </w:t>
      </w:r>
      <w:r w:rsidRPr="00054C4C">
        <w:rPr>
          <w:rStyle w:val="nomauteur"/>
          <w:lang w:val="en-US"/>
        </w:rPr>
        <w:t xml:space="preserve">A systematic review into factors influencing sketch map quality, </w:t>
      </w:r>
      <w:r>
        <w:rPr>
          <w:rStyle w:val="nomauteur"/>
          <w:lang w:val="en-US"/>
        </w:rPr>
        <w:t>International journal of geo-information, 9, 27.</w:t>
      </w:r>
    </w:p>
    <w:p w14:paraId="161B4C4D" w14:textId="77777777" w:rsidR="00B149CA" w:rsidRPr="000159BE" w:rsidRDefault="00B149CA">
      <w:pPr>
        <w:spacing w:after="100" w:afterAutospacing="1" w:line="240" w:lineRule="auto"/>
        <w:jc w:val="both"/>
        <w:rPr>
          <w:rStyle w:val="nomauteur"/>
        </w:rPr>
      </w:pPr>
      <w:r w:rsidRPr="00054C4C">
        <w:rPr>
          <w:rStyle w:val="nomauteur"/>
          <w:lang w:val="en-US"/>
        </w:rPr>
        <w:t>Heft, H. (2013). Environment, cognition, and cultu</w:t>
      </w:r>
      <w:r>
        <w:rPr>
          <w:rStyle w:val="nomauteur"/>
          <w:lang w:val="en-US"/>
        </w:rPr>
        <w:t xml:space="preserve">re: Reconsidering the cognitive </w:t>
      </w:r>
      <w:r w:rsidRPr="00054C4C">
        <w:rPr>
          <w:rStyle w:val="nomauteur"/>
          <w:lang w:val="en-US"/>
        </w:rPr>
        <w:t xml:space="preserve">map. </w:t>
      </w:r>
      <w:r w:rsidRPr="000159BE">
        <w:rPr>
          <w:rStyle w:val="nomauteur"/>
          <w:i/>
        </w:rPr>
        <w:t xml:space="preserve">Journal of </w:t>
      </w:r>
      <w:proofErr w:type="spellStart"/>
      <w:r w:rsidRPr="000159BE">
        <w:rPr>
          <w:rStyle w:val="nomauteur"/>
          <w:i/>
        </w:rPr>
        <w:t>Environmental</w:t>
      </w:r>
      <w:proofErr w:type="spellEnd"/>
      <w:r w:rsidRPr="000159BE">
        <w:rPr>
          <w:rStyle w:val="nomauteur"/>
          <w:i/>
        </w:rPr>
        <w:t xml:space="preserve"> Psychology</w:t>
      </w:r>
      <w:r w:rsidRPr="000159BE">
        <w:rPr>
          <w:rStyle w:val="nomauteur"/>
        </w:rPr>
        <w:t>, 33, 14-25.</w:t>
      </w:r>
    </w:p>
    <w:p w14:paraId="304AF540" w14:textId="77777777" w:rsidR="00B149CA" w:rsidRDefault="00B149CA">
      <w:pPr>
        <w:spacing w:line="240" w:lineRule="auto"/>
        <w:jc w:val="both"/>
        <w:rPr>
          <w:rStyle w:val="nomauteur"/>
        </w:rPr>
      </w:pPr>
      <w:r w:rsidRPr="000159BE">
        <w:rPr>
          <w:rStyle w:val="nomauteur"/>
        </w:rPr>
        <w:t xml:space="preserve">Jodelet, D. (1982). Les représentations socio-spatiales de la ville. </w:t>
      </w:r>
      <w:r w:rsidRPr="00054C4C">
        <w:rPr>
          <w:rStyle w:val="nomauteur"/>
        </w:rPr>
        <w:t xml:space="preserve">In P.H. </w:t>
      </w:r>
      <w:proofErr w:type="spellStart"/>
      <w:r w:rsidRPr="00054C4C">
        <w:rPr>
          <w:rStyle w:val="nomauteur"/>
        </w:rPr>
        <w:t>Derycke</w:t>
      </w:r>
      <w:proofErr w:type="spellEnd"/>
      <w:r w:rsidRPr="00054C4C">
        <w:rPr>
          <w:rStyle w:val="nomauteur"/>
        </w:rPr>
        <w:t xml:space="preserve"> (Ed.), </w:t>
      </w:r>
      <w:r w:rsidRPr="00054C4C">
        <w:rPr>
          <w:rStyle w:val="nomauteur"/>
          <w:i/>
        </w:rPr>
        <w:t>Conception de l'espace</w:t>
      </w:r>
      <w:r w:rsidRPr="00054C4C">
        <w:rPr>
          <w:rStyle w:val="nomauteur"/>
        </w:rPr>
        <w:t>, Paris, Université de Paris X, 145-177.</w:t>
      </w:r>
    </w:p>
    <w:p w14:paraId="46AF5278" w14:textId="77777777" w:rsidR="003748A6" w:rsidRDefault="00B149CA">
      <w:pPr>
        <w:spacing w:after="100" w:afterAutospacing="1" w:line="240" w:lineRule="auto"/>
        <w:jc w:val="both"/>
        <w:rPr>
          <w:rStyle w:val="nomauteur"/>
          <w:lang w:val="en-US"/>
        </w:rPr>
      </w:pPr>
      <w:r w:rsidRPr="00054C4C">
        <w:rPr>
          <w:rStyle w:val="nomauteur"/>
        </w:rPr>
        <w:t xml:space="preserve">Milgram, S. et Jodelet, D. (1976). </w:t>
      </w:r>
      <w:r w:rsidRPr="00054C4C">
        <w:rPr>
          <w:rStyle w:val="nomauteur"/>
          <w:lang w:val="en-US"/>
        </w:rPr>
        <w:t xml:space="preserve">Psychological maps of Paris, In H.M. </w:t>
      </w:r>
      <w:proofErr w:type="spellStart"/>
      <w:r w:rsidRPr="00054C4C">
        <w:rPr>
          <w:rStyle w:val="nomauteur"/>
          <w:lang w:val="en-US"/>
        </w:rPr>
        <w:t>Proshansky</w:t>
      </w:r>
      <w:proofErr w:type="spellEnd"/>
      <w:r w:rsidRPr="00054C4C">
        <w:rPr>
          <w:rStyle w:val="nomauteur"/>
          <w:lang w:val="en-US"/>
        </w:rPr>
        <w:t xml:space="preserve">, W.H. </w:t>
      </w:r>
      <w:proofErr w:type="spellStart"/>
      <w:r w:rsidRPr="00054C4C">
        <w:rPr>
          <w:rStyle w:val="nomauteur"/>
          <w:lang w:val="en-US"/>
        </w:rPr>
        <w:t>Ittelson</w:t>
      </w:r>
      <w:proofErr w:type="spellEnd"/>
      <w:r w:rsidRPr="00054C4C">
        <w:rPr>
          <w:rStyle w:val="nomauteur"/>
          <w:lang w:val="en-US"/>
        </w:rPr>
        <w:t xml:space="preserve"> &amp; L.G. Rivlin (Eds.), </w:t>
      </w:r>
      <w:r w:rsidRPr="00054C4C">
        <w:rPr>
          <w:rStyle w:val="nomauteur"/>
          <w:i/>
          <w:lang w:val="en-US"/>
        </w:rPr>
        <w:t>Environmental psychology: people and their physical setting</w:t>
      </w:r>
      <w:r w:rsidRPr="00054C4C">
        <w:rPr>
          <w:rStyle w:val="nomauteur"/>
          <w:lang w:val="en-US"/>
        </w:rPr>
        <w:t>, New-York: Holt Rinehart and Winston, 104-124.</w:t>
      </w:r>
    </w:p>
    <w:p w14:paraId="4EFBA49A" w14:textId="77777777" w:rsidR="00B149CA" w:rsidRDefault="00B149CA">
      <w:pPr>
        <w:spacing w:line="240" w:lineRule="auto"/>
        <w:jc w:val="both"/>
        <w:rPr>
          <w:rStyle w:val="ouvrage"/>
          <w:lang w:val="en-US"/>
        </w:rPr>
      </w:pPr>
      <w:r>
        <w:rPr>
          <w:rStyle w:val="ouvrage"/>
          <w:lang w:val="en-US"/>
        </w:rPr>
        <w:t xml:space="preserve">O'Keefe J, </w:t>
      </w:r>
      <w:proofErr w:type="spellStart"/>
      <w:r>
        <w:rPr>
          <w:rStyle w:val="ouvrage"/>
          <w:lang w:val="en-US"/>
        </w:rPr>
        <w:t>Dostrovsky</w:t>
      </w:r>
      <w:proofErr w:type="spellEnd"/>
      <w:r>
        <w:rPr>
          <w:rStyle w:val="ouvrage"/>
          <w:lang w:val="en-US"/>
        </w:rPr>
        <w:t xml:space="preserve"> J. (1971). </w:t>
      </w:r>
      <w:r>
        <w:rPr>
          <w:rStyle w:val="CitationHTML"/>
          <w:i w:val="0"/>
          <w:iCs w:val="0"/>
          <w:lang w:val="en"/>
        </w:rPr>
        <w:t>The hippocampus as a spatial map. Preliminary evidence from unit activity in the freely-moving rat</w:t>
      </w:r>
      <w:r w:rsidRPr="00E96CC4">
        <w:rPr>
          <w:rStyle w:val="ouvrage"/>
          <w:lang w:val="en-US"/>
        </w:rPr>
        <w:t xml:space="preserve">, </w:t>
      </w:r>
      <w:r>
        <w:rPr>
          <w:rStyle w:val="lang-en"/>
          <w:i/>
          <w:iCs/>
          <w:lang w:val="en"/>
        </w:rPr>
        <w:t>Brain Res.</w:t>
      </w:r>
      <w:proofErr w:type="gramStart"/>
      <w:r>
        <w:rPr>
          <w:rStyle w:val="ouvrage"/>
          <w:lang w:val="en"/>
        </w:rPr>
        <w:t xml:space="preserve">, </w:t>
      </w:r>
      <w:r>
        <w:rPr>
          <w:rStyle w:val="ouvrage"/>
          <w:lang w:val="en-US"/>
        </w:rPr>
        <w:t> 34</w:t>
      </w:r>
      <w:proofErr w:type="gramEnd"/>
      <w:r>
        <w:rPr>
          <w:rStyle w:val="ouvrage"/>
          <w:lang w:val="en-US"/>
        </w:rPr>
        <w:t>, (</w:t>
      </w:r>
      <w:r w:rsidRPr="00E96CC4">
        <w:rPr>
          <w:rStyle w:val="ouvrage"/>
          <w:lang w:val="en-US"/>
        </w:rPr>
        <w:t>1,</w:t>
      </w:r>
      <w:r>
        <w:rPr>
          <w:rStyle w:val="ouvrage"/>
          <w:lang w:val="en-US"/>
        </w:rPr>
        <w:t xml:space="preserve">)‎, </w:t>
      </w:r>
      <w:r w:rsidRPr="00E96CC4">
        <w:rPr>
          <w:rStyle w:val="ouvrage"/>
          <w:lang w:val="en-US"/>
        </w:rPr>
        <w:t>171–</w:t>
      </w:r>
      <w:r>
        <w:rPr>
          <w:rStyle w:val="ouvrage"/>
          <w:lang w:val="en-US"/>
        </w:rPr>
        <w:t>17</w:t>
      </w:r>
      <w:r w:rsidRPr="00E96CC4">
        <w:rPr>
          <w:rStyle w:val="ouvrage"/>
          <w:lang w:val="en-US"/>
        </w:rPr>
        <w:t>5</w:t>
      </w:r>
    </w:p>
    <w:p w14:paraId="26E68E13" w14:textId="77777777" w:rsidR="00B149CA" w:rsidRDefault="00B149CA">
      <w:pPr>
        <w:spacing w:line="240" w:lineRule="auto"/>
        <w:jc w:val="both"/>
        <w:rPr>
          <w:lang w:val="en-US"/>
        </w:rPr>
      </w:pPr>
      <w:r>
        <w:rPr>
          <w:rStyle w:val="ouvrage"/>
          <w:lang w:val="en-US"/>
        </w:rPr>
        <w:t xml:space="preserve">O'Keefe J., </w:t>
      </w:r>
      <w:r w:rsidRPr="00717C24">
        <w:rPr>
          <w:lang w:val="en-US"/>
        </w:rPr>
        <w:t>Nadel</w:t>
      </w:r>
      <w:r>
        <w:rPr>
          <w:lang w:val="en-US"/>
        </w:rPr>
        <w:t xml:space="preserve">, L. (1978). </w:t>
      </w:r>
      <w:r w:rsidRPr="00717C24">
        <w:rPr>
          <w:i/>
          <w:iCs/>
          <w:lang w:val="en-US"/>
        </w:rPr>
        <w:t>The Hippocampus as a cognitive map</w:t>
      </w:r>
      <w:r>
        <w:rPr>
          <w:lang w:val="en-US"/>
        </w:rPr>
        <w:t>, Oxford University Press.</w:t>
      </w:r>
    </w:p>
    <w:p w14:paraId="75E5387B" w14:textId="77777777" w:rsidR="00B149CA" w:rsidRDefault="00B149CA">
      <w:pPr>
        <w:spacing w:after="100" w:afterAutospacing="1" w:line="240" w:lineRule="auto"/>
        <w:jc w:val="both"/>
        <w:rPr>
          <w:rStyle w:val="nomauteur"/>
        </w:rPr>
      </w:pPr>
      <w:r>
        <w:rPr>
          <w:rStyle w:val="nomauteur"/>
        </w:rPr>
        <w:t>Rivière,</w:t>
      </w:r>
      <w:r w:rsidRPr="00054C4C">
        <w:rPr>
          <w:rStyle w:val="nomauteur"/>
        </w:rPr>
        <w:t xml:space="preserve"> </w:t>
      </w:r>
      <w:r>
        <w:rPr>
          <w:rStyle w:val="nomauteur"/>
        </w:rPr>
        <w:t>C.</w:t>
      </w:r>
      <w:r w:rsidRPr="00054C4C">
        <w:rPr>
          <w:rStyle w:val="nomauteur"/>
        </w:rPr>
        <w:t xml:space="preserve"> </w:t>
      </w:r>
      <w:r>
        <w:rPr>
          <w:rStyle w:val="nomauteur"/>
        </w:rPr>
        <w:t xml:space="preserve">(2017). </w:t>
      </w:r>
      <w:r w:rsidRPr="00054C4C">
        <w:rPr>
          <w:rStyle w:val="nomauteur"/>
        </w:rPr>
        <w:t>La fabrique des dispositions urbaines. Propriétés sociales des parents et soc</w:t>
      </w:r>
      <w:r>
        <w:rPr>
          <w:rStyle w:val="nomauteur"/>
        </w:rPr>
        <w:t>ialisation urbaine des enfants</w:t>
      </w:r>
      <w:r w:rsidRPr="00054C4C">
        <w:rPr>
          <w:rStyle w:val="nomauteur"/>
        </w:rPr>
        <w:t xml:space="preserve">, </w:t>
      </w:r>
      <w:r w:rsidRPr="00054C4C">
        <w:rPr>
          <w:rStyle w:val="nomauteur"/>
          <w:i/>
        </w:rPr>
        <w:t>Actes de la recherche en sciences sociales</w:t>
      </w:r>
      <w:r w:rsidRPr="00054C4C">
        <w:rPr>
          <w:rStyle w:val="nomauteur"/>
        </w:rPr>
        <w:t>, 216, 64-79.</w:t>
      </w:r>
    </w:p>
    <w:p w14:paraId="75B4AEC2" w14:textId="5BFF60BA" w:rsidR="005A6BEC" w:rsidRPr="004F4504" w:rsidRDefault="005A6BEC">
      <w:pPr>
        <w:spacing w:after="100" w:afterAutospacing="1" w:line="240" w:lineRule="auto"/>
        <w:jc w:val="both"/>
        <w:rPr>
          <w:rStyle w:val="nomauteur"/>
          <w:lang w:val="it-IT"/>
        </w:rPr>
      </w:pPr>
      <w:r w:rsidRPr="004F4504">
        <w:rPr>
          <w:rStyle w:val="nomauteur"/>
          <w:lang w:val="it-IT"/>
        </w:rPr>
        <w:t xml:space="preserve">Violi, P. (2014). </w:t>
      </w:r>
      <w:r w:rsidRPr="004F4504">
        <w:rPr>
          <w:rStyle w:val="nomauteur"/>
          <w:i/>
          <w:lang w:val="it-IT"/>
        </w:rPr>
        <w:t>Paesaggi della memoria</w:t>
      </w:r>
      <w:r w:rsidRPr="004F4504">
        <w:rPr>
          <w:rStyle w:val="nomauteur"/>
          <w:lang w:val="it-IT"/>
        </w:rPr>
        <w:t xml:space="preserve">. Bompiani : Milano. </w:t>
      </w:r>
    </w:p>
    <w:p w14:paraId="2FA12DDB" w14:textId="23217C89" w:rsidR="00F76D35" w:rsidRPr="00B77518" w:rsidRDefault="00BD5D6E" w:rsidP="004F4504">
      <w:pPr>
        <w:spacing w:after="100" w:afterAutospacing="1" w:line="240" w:lineRule="auto"/>
        <w:jc w:val="both"/>
        <w:rPr>
          <w:lang w:val="it-IT"/>
        </w:rPr>
      </w:pPr>
      <w:r w:rsidRPr="004F4504">
        <w:rPr>
          <w:rStyle w:val="nomauteur"/>
          <w:lang w:val="it-IT"/>
        </w:rPr>
        <w:t>Vallega</w:t>
      </w:r>
      <w:r>
        <w:rPr>
          <w:rStyle w:val="nomauteur"/>
          <w:lang w:val="it-IT"/>
        </w:rPr>
        <w:t xml:space="preserve"> A. (2008), </w:t>
      </w:r>
      <w:r w:rsidRPr="004F4504">
        <w:rPr>
          <w:rStyle w:val="nomauteur"/>
          <w:i/>
          <w:iCs/>
          <w:lang w:val="it-IT"/>
        </w:rPr>
        <w:t>Fondamenti di geosemiotica</w:t>
      </w:r>
      <w:r w:rsidR="004D2191">
        <w:rPr>
          <w:rStyle w:val="nomauteur"/>
          <w:lang w:val="it-IT"/>
        </w:rPr>
        <w:t xml:space="preserve">, </w:t>
      </w:r>
      <w:r>
        <w:rPr>
          <w:rStyle w:val="nomauteur"/>
          <w:lang w:val="it-IT"/>
        </w:rPr>
        <w:t>Roma, Società Geografica Italiana.</w:t>
      </w:r>
    </w:p>
    <w:sectPr w:rsidR="00F76D35" w:rsidRPr="00B77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63C8" w14:textId="77777777" w:rsidR="004C0FA9" w:rsidRDefault="004C0FA9" w:rsidP="00387E69">
      <w:pPr>
        <w:spacing w:after="0" w:line="240" w:lineRule="auto"/>
      </w:pPr>
      <w:r>
        <w:separator/>
      </w:r>
    </w:p>
  </w:endnote>
  <w:endnote w:type="continuationSeparator" w:id="0">
    <w:p w14:paraId="09C9B68A" w14:textId="77777777" w:rsidR="004C0FA9" w:rsidRDefault="004C0FA9" w:rsidP="0038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FE4AD" w14:textId="77777777" w:rsidR="004C0FA9" w:rsidRDefault="004C0FA9" w:rsidP="00387E69">
      <w:pPr>
        <w:spacing w:after="0" w:line="240" w:lineRule="auto"/>
      </w:pPr>
      <w:r>
        <w:separator/>
      </w:r>
    </w:p>
  </w:footnote>
  <w:footnote w:type="continuationSeparator" w:id="0">
    <w:p w14:paraId="3087F4E2" w14:textId="77777777" w:rsidR="004C0FA9" w:rsidRDefault="004C0FA9" w:rsidP="0038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C5FAD"/>
    <w:multiLevelType w:val="hybridMultilevel"/>
    <w:tmpl w:val="93BC1DB8"/>
    <w:lvl w:ilvl="0" w:tplc="98A21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A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EA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08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C8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62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0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28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88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AC68F9"/>
    <w:multiLevelType w:val="hybridMultilevel"/>
    <w:tmpl w:val="B0902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4CEB"/>
    <w:multiLevelType w:val="hybridMultilevel"/>
    <w:tmpl w:val="6A40AD8E"/>
    <w:lvl w:ilvl="0" w:tplc="90580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22F07"/>
    <w:multiLevelType w:val="hybridMultilevel"/>
    <w:tmpl w:val="A3CC61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CF"/>
    <w:rsid w:val="000002E4"/>
    <w:rsid w:val="0000104E"/>
    <w:rsid w:val="000159BE"/>
    <w:rsid w:val="000325E4"/>
    <w:rsid w:val="0003654B"/>
    <w:rsid w:val="00054C4C"/>
    <w:rsid w:val="00061FFF"/>
    <w:rsid w:val="000706D6"/>
    <w:rsid w:val="00076074"/>
    <w:rsid w:val="000F0D29"/>
    <w:rsid w:val="00104DCC"/>
    <w:rsid w:val="00120AC6"/>
    <w:rsid w:val="00163C95"/>
    <w:rsid w:val="00194EA5"/>
    <w:rsid w:val="001B4494"/>
    <w:rsid w:val="001F0F50"/>
    <w:rsid w:val="002906AE"/>
    <w:rsid w:val="002965D8"/>
    <w:rsid w:val="0029793B"/>
    <w:rsid w:val="00312010"/>
    <w:rsid w:val="00322747"/>
    <w:rsid w:val="00326337"/>
    <w:rsid w:val="00333546"/>
    <w:rsid w:val="003748A6"/>
    <w:rsid w:val="00387E69"/>
    <w:rsid w:val="003F733B"/>
    <w:rsid w:val="004042B8"/>
    <w:rsid w:val="0043573E"/>
    <w:rsid w:val="004450B2"/>
    <w:rsid w:val="00446494"/>
    <w:rsid w:val="00491724"/>
    <w:rsid w:val="004A56EF"/>
    <w:rsid w:val="004C0FA9"/>
    <w:rsid w:val="004C58E6"/>
    <w:rsid w:val="004D2191"/>
    <w:rsid w:val="004F4504"/>
    <w:rsid w:val="00505C7F"/>
    <w:rsid w:val="005771EA"/>
    <w:rsid w:val="005A6BEC"/>
    <w:rsid w:val="00604701"/>
    <w:rsid w:val="0062356F"/>
    <w:rsid w:val="006716E1"/>
    <w:rsid w:val="006859BC"/>
    <w:rsid w:val="006D33CD"/>
    <w:rsid w:val="0071510B"/>
    <w:rsid w:val="00717C24"/>
    <w:rsid w:val="007435C2"/>
    <w:rsid w:val="0076729A"/>
    <w:rsid w:val="00790637"/>
    <w:rsid w:val="0079767F"/>
    <w:rsid w:val="007A31EE"/>
    <w:rsid w:val="007C310E"/>
    <w:rsid w:val="007F371A"/>
    <w:rsid w:val="00813C56"/>
    <w:rsid w:val="00856B3C"/>
    <w:rsid w:val="00863ECB"/>
    <w:rsid w:val="008952D7"/>
    <w:rsid w:val="008D078A"/>
    <w:rsid w:val="00900220"/>
    <w:rsid w:val="00920D25"/>
    <w:rsid w:val="009227CC"/>
    <w:rsid w:val="00953C21"/>
    <w:rsid w:val="00976DC7"/>
    <w:rsid w:val="00977C0E"/>
    <w:rsid w:val="00992766"/>
    <w:rsid w:val="009C0C33"/>
    <w:rsid w:val="009C1CFE"/>
    <w:rsid w:val="00A3478E"/>
    <w:rsid w:val="00A62965"/>
    <w:rsid w:val="00A75BCF"/>
    <w:rsid w:val="00AA024A"/>
    <w:rsid w:val="00AD0FA6"/>
    <w:rsid w:val="00B01124"/>
    <w:rsid w:val="00B149CA"/>
    <w:rsid w:val="00B3435F"/>
    <w:rsid w:val="00B61DB3"/>
    <w:rsid w:val="00B770DA"/>
    <w:rsid w:val="00B77518"/>
    <w:rsid w:val="00BD5D6E"/>
    <w:rsid w:val="00C54E3C"/>
    <w:rsid w:val="00C64100"/>
    <w:rsid w:val="00CD322C"/>
    <w:rsid w:val="00D04B2D"/>
    <w:rsid w:val="00D13E3A"/>
    <w:rsid w:val="00D336A6"/>
    <w:rsid w:val="00D41465"/>
    <w:rsid w:val="00D56D53"/>
    <w:rsid w:val="00D74AE1"/>
    <w:rsid w:val="00D80EAD"/>
    <w:rsid w:val="00D857EF"/>
    <w:rsid w:val="00D918BC"/>
    <w:rsid w:val="00DB7209"/>
    <w:rsid w:val="00DF3F4E"/>
    <w:rsid w:val="00E915E2"/>
    <w:rsid w:val="00E96CC4"/>
    <w:rsid w:val="00EC68D7"/>
    <w:rsid w:val="00EF0D88"/>
    <w:rsid w:val="00EF3501"/>
    <w:rsid w:val="00EF72E4"/>
    <w:rsid w:val="00F011B6"/>
    <w:rsid w:val="00F15FC5"/>
    <w:rsid w:val="00F401FA"/>
    <w:rsid w:val="00F579DC"/>
    <w:rsid w:val="00F76D35"/>
    <w:rsid w:val="00F9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D020"/>
  <w15:chartTrackingRefBased/>
  <w15:docId w15:val="{CA725B77-2C15-4542-97E0-B956B267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uvrage">
    <w:name w:val="ouvrage"/>
    <w:basedOn w:val="Policepardfaut"/>
    <w:rsid w:val="00E96CC4"/>
  </w:style>
  <w:style w:type="character" w:styleId="CitationHTML">
    <w:name w:val="HTML Cite"/>
    <w:basedOn w:val="Policepardfaut"/>
    <w:uiPriority w:val="99"/>
    <w:semiHidden/>
    <w:unhideWhenUsed/>
    <w:rsid w:val="00E96CC4"/>
    <w:rPr>
      <w:i/>
      <w:iCs/>
    </w:rPr>
  </w:style>
  <w:style w:type="character" w:customStyle="1" w:styleId="lang-en">
    <w:name w:val="lang-en"/>
    <w:basedOn w:val="Policepardfaut"/>
    <w:rsid w:val="00E96CC4"/>
  </w:style>
  <w:style w:type="character" w:customStyle="1" w:styleId="nomauteur">
    <w:name w:val="nom_auteur"/>
    <w:basedOn w:val="Policepardfaut"/>
    <w:rsid w:val="00717C24"/>
  </w:style>
  <w:style w:type="paragraph" w:styleId="Paragraphedeliste">
    <w:name w:val="List Paragraph"/>
    <w:basedOn w:val="Normal"/>
    <w:uiPriority w:val="34"/>
    <w:qFormat/>
    <w:rsid w:val="00F76D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2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96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E69"/>
  </w:style>
  <w:style w:type="paragraph" w:styleId="Pieddepage">
    <w:name w:val="footer"/>
    <w:basedOn w:val="Normal"/>
    <w:link w:val="PieddepageCar"/>
    <w:uiPriority w:val="99"/>
    <w:unhideWhenUsed/>
    <w:rsid w:val="00387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E69"/>
  </w:style>
  <w:style w:type="character" w:customStyle="1" w:styleId="acopre">
    <w:name w:val="acopre"/>
    <w:basedOn w:val="Policepardfaut"/>
    <w:rsid w:val="0043573E"/>
  </w:style>
  <w:style w:type="paragraph" w:styleId="Rvision">
    <w:name w:val="Revision"/>
    <w:hidden/>
    <w:uiPriority w:val="99"/>
    <w:semiHidden/>
    <w:rsid w:val="00856B3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2633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6337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33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29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5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5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oquereseaucartotet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breriauniversitaria.it/libri-editore_Franco+Angeli-franco_angel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reriauniversitaria.it/libri-autore_fornara+ferdinando-ferdinando_fornar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bs.it/libri-inglese/editori/sage-publications-lt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breriauniversitaria.it/psicologia-ambientale-introduzione-psicologia-sociale/libro/97888430106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9AAA-E32A-499C-9F49-C2C76937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2160</Words>
  <Characters>11885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Ramadier</dc:creator>
  <cp:keywords/>
  <dc:description/>
  <cp:lastModifiedBy>Carine REMY</cp:lastModifiedBy>
  <cp:revision>2</cp:revision>
  <dcterms:created xsi:type="dcterms:W3CDTF">2021-02-08T13:20:00Z</dcterms:created>
  <dcterms:modified xsi:type="dcterms:W3CDTF">2021-02-08T13:20:00Z</dcterms:modified>
</cp:coreProperties>
</file>