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03C668" w:rsidR="00F03FA9" w:rsidRDefault="00A271DF">
      <w:pPr>
        <w:spacing w:line="240" w:lineRule="auto"/>
        <w:jc w:val="center"/>
        <w:rPr>
          <w:rFonts w:ascii="Verdana" w:eastAsia="Verdana" w:hAnsi="Verdana" w:cs="Verdana"/>
          <w:b/>
          <w:i/>
          <w:sz w:val="18"/>
          <w:szCs w:val="18"/>
        </w:rPr>
      </w:pPr>
      <w:r>
        <w:rPr>
          <w:rFonts w:ascii="Verdana" w:eastAsia="Verdana" w:hAnsi="Verdana" w:cs="Verdana"/>
          <w:b/>
          <w:i/>
          <w:sz w:val="18"/>
          <w:szCs w:val="18"/>
        </w:rPr>
        <w:t xml:space="preserve">Les living </w:t>
      </w:r>
      <w:proofErr w:type="spellStart"/>
      <w:r>
        <w:rPr>
          <w:rFonts w:ascii="Verdana" w:eastAsia="Verdana" w:hAnsi="Verdana" w:cs="Verdana"/>
          <w:b/>
          <w:i/>
          <w:sz w:val="18"/>
          <w:szCs w:val="18"/>
        </w:rPr>
        <w:t>Labs</w:t>
      </w:r>
      <w:proofErr w:type="spellEnd"/>
      <w:r>
        <w:rPr>
          <w:rFonts w:ascii="Verdana" w:eastAsia="Verdana" w:hAnsi="Verdana" w:cs="Verdana"/>
          <w:b/>
          <w:i/>
          <w:sz w:val="18"/>
          <w:szCs w:val="18"/>
        </w:rPr>
        <w:t xml:space="preserve"> : des espaces d'innovation sociale pour le développement économique et social des territoires et des populations</w:t>
      </w:r>
    </w:p>
    <w:p w14:paraId="00000002" w14:textId="77777777" w:rsidR="00F03FA9" w:rsidRDefault="00FB3998">
      <w:pPr>
        <w:spacing w:line="240" w:lineRule="auto"/>
        <w:ind w:right="38"/>
        <w:jc w:val="center"/>
        <w:rPr>
          <w:rFonts w:ascii="Verdana" w:eastAsia="Verdana" w:hAnsi="Verdana" w:cs="Verdana"/>
          <w:b/>
          <w:i/>
          <w:sz w:val="18"/>
          <w:szCs w:val="18"/>
        </w:rPr>
      </w:pPr>
      <w:r>
        <w:pict w14:anchorId="438797CF">
          <v:rect id="_x0000_i1025" style="width:0;height:1.5pt" o:hralign="center" o:hrstd="t" o:hr="t" fillcolor="#a0a0a0" stroked="f"/>
        </w:pict>
      </w:r>
    </w:p>
    <w:p w14:paraId="00000003" w14:textId="77777777" w:rsidR="00F03FA9" w:rsidRDefault="00F03FA9">
      <w:pPr>
        <w:spacing w:line="240" w:lineRule="auto"/>
        <w:rPr>
          <w:rFonts w:ascii="Verdana" w:eastAsia="Verdana" w:hAnsi="Verdana" w:cs="Verdana"/>
          <w:b/>
          <w:sz w:val="18"/>
          <w:szCs w:val="18"/>
        </w:rPr>
      </w:pPr>
    </w:p>
    <w:p w14:paraId="00000004" w14:textId="4C2E5CE5" w:rsidR="00F03FA9" w:rsidRDefault="00A271DF">
      <w:pPr>
        <w:spacing w:line="240" w:lineRule="auto"/>
        <w:jc w:val="both"/>
        <w:rPr>
          <w:rFonts w:ascii="Verdana" w:eastAsia="Verdana" w:hAnsi="Verdana" w:cs="Verdana"/>
          <w:sz w:val="18"/>
          <w:szCs w:val="18"/>
          <w:highlight w:val="white"/>
        </w:rPr>
      </w:pPr>
      <w:r>
        <w:rPr>
          <w:rFonts w:ascii="Verdana" w:eastAsia="Verdana" w:hAnsi="Verdana" w:cs="Verdana"/>
          <w:sz w:val="18"/>
          <w:szCs w:val="18"/>
        </w:rPr>
        <w:t xml:space="preserve">Le développement des sociétés, des territoires et leur population est lié en partie à leur capacité d’innovation pour identifier des problématiques, trouver des solutions appropriées et durables, telles que les innovations sociales, et faire face aux enjeux et défis contemporains. Pour répondre à ces problèmes, des espaces d’innovation se créent dans de nombreux territoires urbains, périurbains ou ruraux (Krauss, G., et Tremblay, D.-G., 2019). Ces espaces prennent des formes variées (lieux de concertation, de fabrication, de réflexion…), se voient attribuer de multiples appellations (living </w:t>
      </w:r>
      <w:proofErr w:type="spellStart"/>
      <w:r>
        <w:rPr>
          <w:rFonts w:ascii="Verdana" w:eastAsia="Verdana" w:hAnsi="Verdana" w:cs="Verdana"/>
          <w:sz w:val="18"/>
          <w:szCs w:val="18"/>
        </w:rPr>
        <w:t>lab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labs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makerspaces</w:t>
      </w:r>
      <w:proofErr w:type="spellEnd"/>
      <w:r>
        <w:rPr>
          <w:rFonts w:ascii="Verdana" w:eastAsia="Verdana" w:hAnsi="Verdana" w:cs="Verdana"/>
          <w:sz w:val="18"/>
          <w:szCs w:val="18"/>
        </w:rPr>
        <w:t xml:space="preserve"> et autres </w:t>
      </w:r>
      <w:proofErr w:type="spellStart"/>
      <w:r>
        <w:rPr>
          <w:rFonts w:ascii="Verdana" w:eastAsia="Verdana" w:hAnsi="Verdana" w:cs="Verdana"/>
          <w:sz w:val="18"/>
          <w:szCs w:val="18"/>
        </w:rPr>
        <w:t>labs</w:t>
      </w:r>
      <w:proofErr w:type="spellEnd"/>
      <w:r>
        <w:rPr>
          <w:rFonts w:ascii="Verdana" w:eastAsia="Verdana" w:hAnsi="Verdana" w:cs="Verdana"/>
          <w:sz w:val="18"/>
          <w:szCs w:val="18"/>
        </w:rPr>
        <w:t>…) et abordent des thématiques diverses avec des équipes et des moyens de plus ou moins grande envergure. Pour autant, ces espaces d’innovations existent avec comme objet commun : celui de (re)penser la société afin d’améliorer la vie de la population qui la compose (</w:t>
      </w:r>
      <w:proofErr w:type="spellStart"/>
      <w:r>
        <w:rPr>
          <w:rFonts w:ascii="Verdana" w:eastAsia="Verdana" w:hAnsi="Verdana" w:cs="Verdana"/>
          <w:sz w:val="18"/>
          <w:szCs w:val="18"/>
        </w:rPr>
        <w:t>Rumpala</w:t>
      </w:r>
      <w:proofErr w:type="spellEnd"/>
      <w:r>
        <w:rPr>
          <w:rFonts w:ascii="Verdana" w:eastAsia="Verdana" w:hAnsi="Verdana" w:cs="Verdana"/>
          <w:sz w:val="18"/>
          <w:szCs w:val="18"/>
        </w:rPr>
        <w:t xml:space="preserve">, 2014), </w:t>
      </w:r>
      <w:r>
        <w:rPr>
          <w:rFonts w:ascii="Verdana" w:eastAsia="Verdana" w:hAnsi="Verdana" w:cs="Verdana"/>
          <w:sz w:val="18"/>
          <w:szCs w:val="18"/>
          <w:highlight w:val="white"/>
        </w:rPr>
        <w:t>et de (re)penser une alternative au modèle économique industriel et mondialisé (Healy, 2020), notamment par la relocalisation de l'économie (</w:t>
      </w:r>
      <w:proofErr w:type="spellStart"/>
      <w:r>
        <w:rPr>
          <w:rFonts w:ascii="Verdana" w:eastAsia="Verdana" w:hAnsi="Verdana" w:cs="Verdana"/>
          <w:sz w:val="18"/>
          <w:szCs w:val="18"/>
          <w:highlight w:val="white"/>
        </w:rPr>
        <w:t>Lallemend</w:t>
      </w:r>
      <w:proofErr w:type="spellEnd"/>
      <w:r>
        <w:rPr>
          <w:rFonts w:ascii="Verdana" w:eastAsia="Verdana" w:hAnsi="Verdana" w:cs="Verdana"/>
          <w:sz w:val="18"/>
          <w:szCs w:val="18"/>
          <w:highlight w:val="white"/>
        </w:rPr>
        <w:t>, 2015)</w:t>
      </w:r>
      <w:r>
        <w:rPr>
          <w:rFonts w:ascii="Verdana" w:eastAsia="Verdana" w:hAnsi="Verdana" w:cs="Verdana"/>
          <w:sz w:val="18"/>
          <w:szCs w:val="18"/>
        </w:rPr>
        <w:t xml:space="preserve">. Mais en dépit de leur nombre croissant, ces initiatives semblent manquer parfois de cohérence, de ressources ou de reconnaissance de leur existence auprès d’un large public, qui, pourtant, pourrait en être les premiers bénéficiaires. </w:t>
      </w:r>
      <w:r>
        <w:rPr>
          <w:rFonts w:ascii="Verdana" w:eastAsia="Verdana" w:hAnsi="Verdana" w:cs="Verdana"/>
          <w:sz w:val="18"/>
          <w:szCs w:val="18"/>
          <w:highlight w:val="white"/>
        </w:rPr>
        <w:t xml:space="preserve">Les espaces d’innovation sont très diversifiés et se multiplient. Pour autant, il n’est pas toujours aisé d’en apporter une définition élaborée, ni même une catégorisation suffisamment précise (Scaillerez et Tremblay, 2017). </w:t>
      </w:r>
    </w:p>
    <w:p w14:paraId="29AE929D" w14:textId="293B4736" w:rsidR="004E4140" w:rsidRDefault="004E4140">
      <w:pPr>
        <w:spacing w:line="240" w:lineRule="auto"/>
        <w:jc w:val="both"/>
        <w:rPr>
          <w:rFonts w:ascii="Verdana" w:eastAsia="Verdana" w:hAnsi="Verdana" w:cs="Verdana"/>
          <w:sz w:val="18"/>
          <w:szCs w:val="18"/>
          <w:highlight w:val="white"/>
        </w:rPr>
      </w:pPr>
    </w:p>
    <w:p w14:paraId="56E43D55" w14:textId="55E3AA5B" w:rsidR="004E4140" w:rsidRPr="004E4140" w:rsidRDefault="004E4140" w:rsidP="004E4140">
      <w:pPr>
        <w:pStyle w:val="xmsonormal"/>
        <w:shd w:val="clear" w:color="auto" w:fill="FFFFFF"/>
        <w:spacing w:before="0" w:beforeAutospacing="0" w:after="0" w:afterAutospacing="0"/>
        <w:jc w:val="both"/>
        <w:rPr>
          <w:rStyle w:val="xapple-converted-space"/>
          <w:rFonts w:ascii="Verdana" w:hAnsi="Verdana" w:cs="Arial"/>
          <w:color w:val="000000"/>
          <w:sz w:val="18"/>
          <w:szCs w:val="18"/>
          <w:bdr w:val="none" w:sz="0" w:space="0" w:color="auto" w:frame="1"/>
        </w:rPr>
      </w:pPr>
      <w:r w:rsidRPr="004E4140">
        <w:rPr>
          <w:rFonts w:ascii="Verdana" w:eastAsia="Verdana" w:hAnsi="Verdana" w:cs="Verdana"/>
          <w:sz w:val="18"/>
          <w:szCs w:val="18"/>
          <w:highlight w:val="white"/>
        </w:rPr>
        <w:t xml:space="preserve">Parmi ces espaces d’innovation, existent les living </w:t>
      </w:r>
      <w:proofErr w:type="spellStart"/>
      <w:r w:rsidRPr="004E4140">
        <w:rPr>
          <w:rFonts w:ascii="Verdana" w:eastAsia="Verdana" w:hAnsi="Verdana" w:cs="Verdana"/>
          <w:sz w:val="18"/>
          <w:szCs w:val="18"/>
          <w:highlight w:val="white"/>
        </w:rPr>
        <w:t>labs</w:t>
      </w:r>
      <w:proofErr w:type="spellEnd"/>
      <w:r w:rsidRPr="004E4140">
        <w:rPr>
          <w:rFonts w:ascii="Verdana" w:eastAsia="Verdana" w:hAnsi="Verdana" w:cs="Verdana"/>
          <w:sz w:val="18"/>
          <w:szCs w:val="18"/>
          <w:highlight w:val="white"/>
        </w:rPr>
        <w:t xml:space="preserve">. </w:t>
      </w:r>
      <w:r w:rsidRPr="004E4140">
        <w:rPr>
          <w:rFonts w:ascii="Verdana" w:hAnsi="Verdana" w:cs="Arial"/>
          <w:color w:val="000000"/>
          <w:sz w:val="18"/>
          <w:szCs w:val="18"/>
          <w:bdr w:val="none" w:sz="0" w:space="0" w:color="auto" w:frame="1"/>
        </w:rPr>
        <w:t xml:space="preserve">En tant que nouvelle approche cherchant à résoudre des problématiques sociales complexes, les living </w:t>
      </w:r>
      <w:proofErr w:type="spellStart"/>
      <w:r w:rsidRPr="004E4140">
        <w:rPr>
          <w:rFonts w:ascii="Verdana" w:hAnsi="Verdana" w:cs="Arial"/>
          <w:color w:val="000000"/>
          <w:sz w:val="18"/>
          <w:szCs w:val="18"/>
          <w:bdr w:val="none" w:sz="0" w:space="0" w:color="auto" w:frame="1"/>
        </w:rPr>
        <w:t>labs</w:t>
      </w:r>
      <w:proofErr w:type="spellEnd"/>
      <w:r w:rsidRPr="004E4140">
        <w:rPr>
          <w:rFonts w:ascii="Verdana" w:hAnsi="Verdana" w:cs="Arial"/>
          <w:color w:val="000000"/>
          <w:sz w:val="18"/>
          <w:szCs w:val="18"/>
          <w:bdr w:val="none" w:sz="0" w:space="0" w:color="auto" w:frame="1"/>
        </w:rPr>
        <w:t xml:space="preserve"> (laboratoires vivants) se distinguent par leurs objectifs de participation et de co-construction positionnant les citoyens et les usagers au centre de leurs démarches (Scaillerez, Tremblay, 2017).</w:t>
      </w:r>
      <w:r w:rsidRPr="004E4140">
        <w:rPr>
          <w:rStyle w:val="xapple-converted-space"/>
          <w:rFonts w:ascii="Verdana" w:hAnsi="Verdana" w:cs="Arial"/>
          <w:color w:val="000000"/>
          <w:sz w:val="18"/>
          <w:szCs w:val="18"/>
          <w:bdr w:val="none" w:sz="0" w:space="0" w:color="auto" w:frame="1"/>
        </w:rPr>
        <w:t> L’un des objets de la méthode</w:t>
      </w:r>
      <w:r>
        <w:rPr>
          <w:rStyle w:val="xapple-converted-space"/>
          <w:rFonts w:ascii="Verdana" w:hAnsi="Verdana" w:cs="Arial"/>
          <w:color w:val="000000"/>
          <w:sz w:val="18"/>
          <w:szCs w:val="18"/>
          <w:bdr w:val="none" w:sz="0" w:space="0" w:color="auto" w:frame="1"/>
        </w:rPr>
        <w:t xml:space="preserve"> est</w:t>
      </w:r>
      <w:r w:rsidRPr="004E4140">
        <w:rPr>
          <w:rStyle w:val="xapple-converted-space"/>
          <w:rFonts w:ascii="Verdana" w:hAnsi="Verdana" w:cs="Arial"/>
          <w:color w:val="000000"/>
          <w:sz w:val="18"/>
          <w:szCs w:val="18"/>
          <w:bdr w:val="none" w:sz="0" w:space="0" w:color="auto" w:frame="1"/>
        </w:rPr>
        <w:t xml:space="preserve"> </w:t>
      </w:r>
      <w:r>
        <w:rPr>
          <w:rStyle w:val="xapple-converted-space"/>
          <w:rFonts w:ascii="Verdana" w:hAnsi="Verdana" w:cs="Arial"/>
          <w:color w:val="000000"/>
          <w:sz w:val="18"/>
          <w:szCs w:val="18"/>
          <w:bdr w:val="none" w:sz="0" w:space="0" w:color="auto" w:frame="1"/>
        </w:rPr>
        <w:t>de p</w:t>
      </w:r>
      <w:r w:rsidRPr="004E4140">
        <w:rPr>
          <w:rStyle w:val="xapple-converted-space"/>
          <w:rFonts w:ascii="Verdana" w:hAnsi="Verdana" w:cs="Arial"/>
          <w:color w:val="000000"/>
          <w:sz w:val="18"/>
          <w:szCs w:val="18"/>
          <w:bdr w:val="none" w:sz="0" w:space="0" w:color="auto" w:frame="1"/>
        </w:rPr>
        <w:t>ermettre au plus grand nombre de participer à la réflexion</w:t>
      </w:r>
      <w:r>
        <w:rPr>
          <w:rStyle w:val="xapple-converted-space"/>
          <w:rFonts w:ascii="Verdana" w:hAnsi="Verdana" w:cs="Arial"/>
          <w:color w:val="000000"/>
          <w:sz w:val="18"/>
          <w:szCs w:val="18"/>
          <w:bdr w:val="none" w:sz="0" w:space="0" w:color="auto" w:frame="1"/>
        </w:rPr>
        <w:t>, ce qui</w:t>
      </w:r>
      <w:r w:rsidRPr="004E4140">
        <w:rPr>
          <w:rStyle w:val="xapple-converted-space"/>
          <w:rFonts w:ascii="Verdana" w:hAnsi="Verdana" w:cs="Arial"/>
          <w:color w:val="000000"/>
          <w:sz w:val="18"/>
          <w:szCs w:val="18"/>
          <w:bdr w:val="none" w:sz="0" w:space="0" w:color="auto" w:frame="1"/>
        </w:rPr>
        <w:t xml:space="preserve"> fait aussi des living </w:t>
      </w:r>
      <w:proofErr w:type="spellStart"/>
      <w:r w:rsidRPr="004E4140">
        <w:rPr>
          <w:rStyle w:val="xapple-converted-space"/>
          <w:rFonts w:ascii="Verdana" w:hAnsi="Verdana" w:cs="Arial"/>
          <w:color w:val="000000"/>
          <w:sz w:val="18"/>
          <w:szCs w:val="18"/>
          <w:bdr w:val="none" w:sz="0" w:space="0" w:color="auto" w:frame="1"/>
        </w:rPr>
        <w:t>labs</w:t>
      </w:r>
      <w:proofErr w:type="spellEnd"/>
      <w:r w:rsidRPr="004E4140">
        <w:rPr>
          <w:rStyle w:val="xapple-converted-space"/>
          <w:rFonts w:ascii="Verdana" w:hAnsi="Verdana" w:cs="Arial"/>
          <w:color w:val="000000"/>
          <w:sz w:val="18"/>
          <w:szCs w:val="18"/>
          <w:bdr w:val="none" w:sz="0" w:space="0" w:color="auto" w:frame="1"/>
        </w:rPr>
        <w:t xml:space="preserve"> une approche qui contribue à admettre que certaines </w:t>
      </w:r>
      <w:r w:rsidRPr="00D34F8E">
        <w:rPr>
          <w:rStyle w:val="xapple-converted-space"/>
          <w:rFonts w:ascii="Verdana" w:hAnsi="Verdana" w:cs="Arial"/>
          <w:color w:val="000000"/>
          <w:sz w:val="18"/>
          <w:szCs w:val="18"/>
          <w:bdr w:val="none" w:sz="0" w:space="0" w:color="auto" w:frame="1"/>
        </w:rPr>
        <w:t xml:space="preserve">ressources (naturelles, </w:t>
      </w:r>
      <w:proofErr w:type="spellStart"/>
      <w:r w:rsidRPr="00D34F8E">
        <w:rPr>
          <w:rStyle w:val="xapple-converted-space"/>
          <w:rFonts w:ascii="Verdana" w:hAnsi="Verdana" w:cs="Arial"/>
          <w:color w:val="000000"/>
          <w:sz w:val="18"/>
          <w:szCs w:val="18"/>
          <w:bdr w:val="none" w:sz="0" w:space="0" w:color="auto" w:frame="1"/>
        </w:rPr>
        <w:t>Ostrom</w:t>
      </w:r>
      <w:proofErr w:type="spellEnd"/>
      <w:r w:rsidRPr="00D34F8E">
        <w:rPr>
          <w:rStyle w:val="xapple-converted-space"/>
          <w:rFonts w:ascii="Verdana" w:hAnsi="Verdana" w:cs="Arial"/>
          <w:color w:val="000000"/>
          <w:sz w:val="18"/>
          <w:szCs w:val="18"/>
          <w:bdr w:val="none" w:sz="0" w:space="0" w:color="auto" w:frame="1"/>
        </w:rPr>
        <w:t xml:space="preserve"> 1990 ; ou par exemple, intellectuelles, Hess et </w:t>
      </w:r>
      <w:proofErr w:type="spellStart"/>
      <w:r w:rsidRPr="00D34F8E">
        <w:rPr>
          <w:rStyle w:val="xapple-converted-space"/>
          <w:rFonts w:ascii="Verdana" w:hAnsi="Verdana" w:cs="Arial"/>
          <w:color w:val="000000"/>
          <w:sz w:val="18"/>
          <w:szCs w:val="18"/>
          <w:bdr w:val="none" w:sz="0" w:space="0" w:color="auto" w:frame="1"/>
        </w:rPr>
        <w:t>Ostrom</w:t>
      </w:r>
      <w:proofErr w:type="spellEnd"/>
      <w:r w:rsidRPr="00D34F8E">
        <w:rPr>
          <w:rStyle w:val="xapple-converted-space"/>
          <w:rFonts w:ascii="Verdana" w:hAnsi="Verdana" w:cs="Arial"/>
          <w:color w:val="000000"/>
          <w:sz w:val="18"/>
          <w:szCs w:val="18"/>
          <w:bdr w:val="none" w:sz="0" w:space="0" w:color="auto" w:frame="1"/>
        </w:rPr>
        <w:t>, 2007) appartiennent à tous et font partie des communs (Hess, 2008).</w:t>
      </w:r>
    </w:p>
    <w:p w14:paraId="00000005" w14:textId="77777777" w:rsidR="00F03FA9" w:rsidRPr="004E4140" w:rsidRDefault="00F03FA9">
      <w:pPr>
        <w:spacing w:line="240" w:lineRule="auto"/>
        <w:jc w:val="both"/>
        <w:rPr>
          <w:rFonts w:ascii="Verdana" w:eastAsia="Verdana" w:hAnsi="Verdana" w:cs="Verdana"/>
          <w:b/>
          <w:sz w:val="18"/>
          <w:szCs w:val="18"/>
          <w:highlight w:val="white"/>
        </w:rPr>
      </w:pPr>
    </w:p>
    <w:p w14:paraId="00000006" w14:textId="5F60F7AD" w:rsidR="00F03FA9" w:rsidRDefault="00A271DF">
      <w:pPr>
        <w:spacing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L’innovation sociale</w:t>
      </w:r>
      <w:r w:rsidR="00D34F8E">
        <w:rPr>
          <w:rFonts w:ascii="Verdana" w:eastAsia="Verdana" w:hAnsi="Verdana" w:cs="Verdana"/>
          <w:sz w:val="18"/>
          <w:szCs w:val="18"/>
          <w:highlight w:val="white"/>
        </w:rPr>
        <w:t xml:space="preserve"> peut être perçue</w:t>
      </w:r>
      <w:r>
        <w:rPr>
          <w:rFonts w:ascii="Verdana" w:eastAsia="Verdana" w:hAnsi="Verdana" w:cs="Verdana"/>
          <w:sz w:val="18"/>
          <w:szCs w:val="18"/>
          <w:highlight w:val="white"/>
        </w:rPr>
        <w:t xml:space="preserve"> en tant que perspective et résultat d</w:t>
      </w:r>
      <w:r w:rsidR="00D34F8E">
        <w:rPr>
          <w:rFonts w:ascii="Verdana" w:eastAsia="Verdana" w:hAnsi="Verdana" w:cs="Verdana"/>
          <w:sz w:val="18"/>
          <w:szCs w:val="18"/>
          <w:highlight w:val="white"/>
        </w:rPr>
        <w:t>e l’approche</w:t>
      </w:r>
      <w:r w:rsidR="004E4140">
        <w:rPr>
          <w:rFonts w:ascii="Verdana" w:eastAsia="Verdana" w:hAnsi="Verdana" w:cs="Verdana"/>
          <w:sz w:val="18"/>
          <w:szCs w:val="18"/>
          <w:highlight w:val="white"/>
        </w:rPr>
        <w:t xml:space="preserve"> living </w:t>
      </w:r>
      <w:proofErr w:type="spellStart"/>
      <w:r w:rsidR="004E4140">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xml:space="preserve">, </w:t>
      </w:r>
      <w:r w:rsidR="00D34F8E">
        <w:rPr>
          <w:rFonts w:ascii="Verdana" w:eastAsia="Verdana" w:hAnsi="Verdana" w:cs="Verdana"/>
          <w:sz w:val="18"/>
          <w:szCs w:val="18"/>
          <w:highlight w:val="white"/>
        </w:rPr>
        <w:t>et peut aussi permettre de</w:t>
      </w:r>
      <w:r>
        <w:rPr>
          <w:rFonts w:ascii="Verdana" w:eastAsia="Verdana" w:hAnsi="Verdana" w:cs="Verdana"/>
          <w:sz w:val="18"/>
          <w:szCs w:val="18"/>
          <w:highlight w:val="white"/>
        </w:rPr>
        <w:t xml:space="preserve"> mieux les qualifier. Les </w:t>
      </w:r>
      <w:r w:rsidR="004E4140">
        <w:rPr>
          <w:rFonts w:ascii="Verdana" w:eastAsia="Verdana" w:hAnsi="Verdana" w:cs="Verdana"/>
          <w:sz w:val="18"/>
          <w:szCs w:val="18"/>
          <w:highlight w:val="white"/>
        </w:rPr>
        <w:t xml:space="preserve">living </w:t>
      </w:r>
      <w:proofErr w:type="spellStart"/>
      <w:r w:rsidR="004E4140">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xml:space="preserve"> semblent </w:t>
      </w:r>
      <w:r w:rsidR="004E4140">
        <w:rPr>
          <w:rFonts w:ascii="Verdana" w:eastAsia="Verdana" w:hAnsi="Verdana" w:cs="Verdana"/>
          <w:sz w:val="18"/>
          <w:szCs w:val="18"/>
          <w:highlight w:val="white"/>
        </w:rPr>
        <w:t xml:space="preserve">donc </w:t>
      </w:r>
      <w:r>
        <w:rPr>
          <w:rFonts w:ascii="Verdana" w:eastAsia="Verdana" w:hAnsi="Verdana" w:cs="Verdana"/>
          <w:sz w:val="18"/>
          <w:szCs w:val="18"/>
          <w:highlight w:val="white"/>
        </w:rPr>
        <w:t>être liés au concept d’innovation sociale, qui en serait le résultat. Autrement dit, la méthode</w:t>
      </w:r>
      <w:r w:rsidR="004E4140">
        <w:rPr>
          <w:rFonts w:ascii="Verdana" w:eastAsia="Verdana" w:hAnsi="Verdana" w:cs="Verdana"/>
          <w:sz w:val="18"/>
          <w:szCs w:val="18"/>
          <w:highlight w:val="white"/>
        </w:rPr>
        <w:t xml:space="preserve"> des laboratoires vivants</w:t>
      </w:r>
      <w:r>
        <w:rPr>
          <w:rFonts w:ascii="Verdana" w:eastAsia="Verdana" w:hAnsi="Verdana" w:cs="Verdana"/>
          <w:sz w:val="18"/>
          <w:szCs w:val="18"/>
          <w:highlight w:val="white"/>
        </w:rPr>
        <w:t xml:space="preserve">, les outils et les acteurs présents peuvent contribuer, au final, à produire une innovation sociale destinée à résoudre une problématique. Une innovation sociale est également une notion polysémique (Cloutier, J. 2003). La notion répond à un manque, à un dysfonctionnement, à un problème complexe, mais aussi fait face à une dynamique complexe (Murray, </w:t>
      </w:r>
      <w:proofErr w:type="spellStart"/>
      <w:r>
        <w:rPr>
          <w:rFonts w:ascii="Verdana" w:eastAsia="Verdana" w:hAnsi="Verdana" w:cs="Verdana"/>
          <w:sz w:val="18"/>
          <w:szCs w:val="18"/>
          <w:highlight w:val="white"/>
        </w:rPr>
        <w:t>Caulier</w:t>
      </w:r>
      <w:proofErr w:type="spellEnd"/>
      <w:r>
        <w:rPr>
          <w:rFonts w:ascii="Verdana" w:eastAsia="Verdana" w:hAnsi="Verdana" w:cs="Verdana"/>
          <w:sz w:val="18"/>
          <w:szCs w:val="18"/>
          <w:highlight w:val="white"/>
        </w:rPr>
        <w:t xml:space="preserve">-Grice, </w:t>
      </w:r>
      <w:proofErr w:type="spellStart"/>
      <w:r>
        <w:rPr>
          <w:rFonts w:ascii="Verdana" w:eastAsia="Verdana" w:hAnsi="Verdana" w:cs="Verdana"/>
          <w:sz w:val="18"/>
          <w:szCs w:val="18"/>
          <w:highlight w:val="white"/>
        </w:rPr>
        <w:t>Mulgan</w:t>
      </w:r>
      <w:proofErr w:type="spellEnd"/>
      <w:r>
        <w:rPr>
          <w:rFonts w:ascii="Verdana" w:eastAsia="Verdana" w:hAnsi="Verdana" w:cs="Verdana"/>
          <w:sz w:val="18"/>
          <w:szCs w:val="18"/>
          <w:highlight w:val="white"/>
        </w:rPr>
        <w:t>, G. 2010) dans le but de répondre aux besoins de la (ou d’une) population et impacte, dès lors, la société dans son ensemble (Andrew, C. et Klein, J.-L., 2010), tout comme son développement socio-économique. Il s’agit donc ici de tisser des liens entre ces deux notions dans l’optique de renforcer leurs définitions respectives.</w:t>
      </w:r>
    </w:p>
    <w:p w14:paraId="00000007" w14:textId="77777777" w:rsidR="00F03FA9" w:rsidRDefault="00F03FA9">
      <w:pPr>
        <w:spacing w:line="240" w:lineRule="auto"/>
        <w:jc w:val="both"/>
        <w:rPr>
          <w:rFonts w:ascii="Verdana" w:eastAsia="Verdana" w:hAnsi="Verdana" w:cs="Verdana"/>
          <w:sz w:val="18"/>
          <w:szCs w:val="18"/>
          <w:highlight w:val="white"/>
        </w:rPr>
      </w:pPr>
    </w:p>
    <w:p w14:paraId="00000008" w14:textId="65F81EBF" w:rsidR="00F03FA9" w:rsidRDefault="00A271DF">
      <w:pPr>
        <w:spacing w:line="240" w:lineRule="auto"/>
        <w:jc w:val="both"/>
        <w:rPr>
          <w:rFonts w:ascii="Verdana" w:eastAsia="Verdana" w:hAnsi="Verdana" w:cs="Verdana"/>
          <w:sz w:val="18"/>
          <w:szCs w:val="18"/>
          <w:highlight w:val="white"/>
        </w:rPr>
      </w:pPr>
      <w:r>
        <w:rPr>
          <w:rFonts w:ascii="Verdana" w:eastAsia="Verdana" w:hAnsi="Verdana" w:cs="Verdana"/>
          <w:sz w:val="18"/>
          <w:szCs w:val="18"/>
          <w:highlight w:val="white"/>
        </w:rPr>
        <w:t xml:space="preserve">Le territoire est une autre dimension pouvant permettre de mieux comprendre le rôle et les fonctions des espaces d’innovations. La notion d’espace ne renvoie pas seulement à la spatialisation d’un processus d’innovation mais également à un processus de territorialisation de l’innovation (Torre, 2018) qui contribue à la rendre sociale (Fontan, Klein et Tremblay, 2004). Autrement dit, les </w:t>
      </w:r>
      <w:r w:rsidR="004E4140">
        <w:rPr>
          <w:rFonts w:ascii="Verdana" w:eastAsia="Verdana" w:hAnsi="Verdana" w:cs="Verdana"/>
          <w:sz w:val="18"/>
          <w:szCs w:val="18"/>
          <w:highlight w:val="white"/>
        </w:rPr>
        <w:t xml:space="preserve">living </w:t>
      </w:r>
      <w:proofErr w:type="spellStart"/>
      <w:r w:rsidR="004E4140">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xml:space="preserve"> seraient ces lieux où l’innovation se fait sociale parce qu’elle s’ancre dans un territoire muni de ses dynamiques spécifiques et d’une potentialité de développement économique et social. Or, la compréhension des dimensions et des effets territoriaux des </w:t>
      </w:r>
      <w:r w:rsidR="004E4140">
        <w:rPr>
          <w:rFonts w:ascii="Verdana" w:eastAsia="Verdana" w:hAnsi="Verdana" w:cs="Verdana"/>
          <w:sz w:val="18"/>
          <w:szCs w:val="18"/>
          <w:highlight w:val="white"/>
        </w:rPr>
        <w:t xml:space="preserve">living </w:t>
      </w:r>
      <w:proofErr w:type="spellStart"/>
      <w:r w:rsidR="004E4140">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xml:space="preserve"> reste un chantier ouvert</w:t>
      </w:r>
      <w:r w:rsidR="004E4140">
        <w:rPr>
          <w:rFonts w:ascii="Verdana" w:eastAsia="Verdana" w:hAnsi="Verdana" w:cs="Verdana"/>
          <w:sz w:val="18"/>
          <w:szCs w:val="18"/>
          <w:highlight w:val="white"/>
        </w:rPr>
        <w:t xml:space="preserve"> (Lafontaine, 2017)</w:t>
      </w:r>
      <w:r>
        <w:rPr>
          <w:rFonts w:ascii="Verdana" w:eastAsia="Verdana" w:hAnsi="Verdana" w:cs="Verdana"/>
          <w:sz w:val="18"/>
          <w:szCs w:val="18"/>
          <w:highlight w:val="white"/>
        </w:rPr>
        <w:t xml:space="preserve">. </w:t>
      </w:r>
      <w:r w:rsidR="004E4140">
        <w:rPr>
          <w:rFonts w:ascii="Verdana" w:eastAsia="Verdana" w:hAnsi="Verdana" w:cs="Verdana"/>
          <w:sz w:val="18"/>
          <w:szCs w:val="18"/>
          <w:highlight w:val="white"/>
        </w:rPr>
        <w:t>Ils</w:t>
      </w:r>
      <w:r>
        <w:rPr>
          <w:rFonts w:ascii="Verdana" w:eastAsia="Verdana" w:hAnsi="Verdana" w:cs="Verdana"/>
          <w:sz w:val="18"/>
          <w:szCs w:val="18"/>
          <w:highlight w:val="white"/>
        </w:rPr>
        <w:t xml:space="preserve"> seraient l’un des vecteurs qui permettrait l’avènement d’un processus innovant ancré dans les besoins sociaux et économiques du territoire et de la population considérés (d’où l’appellation d’innovation sociale), et ce, en permettant de réagir de façon active (centre d’impulsion) par la collaboration et le renforcement des capacités (par le nombre des participants, leur expertise, leur expérience, leurs connaissances, leur vécu…). Par le truchement de</w:t>
      </w:r>
      <w:r w:rsidR="004E4140">
        <w:rPr>
          <w:rFonts w:ascii="Verdana" w:eastAsia="Verdana" w:hAnsi="Verdana" w:cs="Verdana"/>
          <w:sz w:val="18"/>
          <w:szCs w:val="18"/>
          <w:highlight w:val="white"/>
        </w:rPr>
        <w:t xml:space="preserve">s living </w:t>
      </w:r>
      <w:proofErr w:type="spellStart"/>
      <w:r w:rsidR="004E4140">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les innovations sociales qui en découlent peuvent alors avoir un impact tant sur la société, sur la qualité de vie, l’économie, l’environnement et même influer sur les modes de gouvernance locale (</w:t>
      </w:r>
      <w:proofErr w:type="spellStart"/>
      <w:r>
        <w:rPr>
          <w:rFonts w:ascii="Verdana" w:eastAsia="Verdana" w:hAnsi="Verdana" w:cs="Verdana"/>
          <w:sz w:val="18"/>
          <w:szCs w:val="18"/>
          <w:highlight w:val="white"/>
        </w:rPr>
        <w:t>Lévesques</w:t>
      </w:r>
      <w:proofErr w:type="spellEnd"/>
      <w:r>
        <w:rPr>
          <w:rFonts w:ascii="Verdana" w:eastAsia="Verdana" w:hAnsi="Verdana" w:cs="Verdana"/>
          <w:sz w:val="18"/>
          <w:szCs w:val="18"/>
          <w:highlight w:val="white"/>
        </w:rPr>
        <w:t>, B., Fontan, J.-M. et Klein, J.-L., 2014), les politiques économiques, ou la résilience d’un territoire ou d’une population (Klein, J.-L., Pecqueur, B., Koop, K. et Soussi, S.A., 2016).</w:t>
      </w:r>
    </w:p>
    <w:p w14:paraId="00000009" w14:textId="46115470" w:rsidR="00F03FA9" w:rsidRDefault="00A271DF">
      <w:pPr>
        <w:shd w:val="clear" w:color="auto" w:fill="FFFFFF"/>
        <w:spacing w:before="240" w:after="240" w:line="240" w:lineRule="auto"/>
        <w:jc w:val="both"/>
        <w:rPr>
          <w:rFonts w:ascii="Verdana" w:eastAsia="Verdana" w:hAnsi="Verdana" w:cs="Verdana"/>
          <w:sz w:val="18"/>
          <w:szCs w:val="18"/>
        </w:rPr>
      </w:pPr>
      <w:r>
        <w:rPr>
          <w:rFonts w:ascii="Verdana" w:eastAsia="Verdana" w:hAnsi="Verdana" w:cs="Verdana"/>
          <w:color w:val="000000"/>
          <w:sz w:val="18"/>
          <w:szCs w:val="18"/>
        </w:rPr>
        <w:t xml:space="preserve">Cet appel à articles </w:t>
      </w:r>
      <w:r>
        <w:rPr>
          <w:rFonts w:ascii="Verdana" w:eastAsia="Verdana" w:hAnsi="Verdana" w:cs="Verdana"/>
          <w:sz w:val="18"/>
          <w:szCs w:val="18"/>
        </w:rPr>
        <w:t>vise donc à mettre en relation les notions de territoire, d</w:t>
      </w:r>
      <w:r w:rsidR="004E4140">
        <w:rPr>
          <w:rFonts w:ascii="Verdana" w:eastAsia="Verdana" w:hAnsi="Verdana" w:cs="Verdana"/>
          <w:sz w:val="18"/>
          <w:szCs w:val="18"/>
        </w:rPr>
        <w:t xml:space="preserve">e living </w:t>
      </w:r>
      <w:proofErr w:type="spellStart"/>
      <w:r w:rsidR="004E4140">
        <w:rPr>
          <w:rFonts w:ascii="Verdana" w:eastAsia="Verdana" w:hAnsi="Verdana" w:cs="Verdana"/>
          <w:sz w:val="18"/>
          <w:szCs w:val="18"/>
        </w:rPr>
        <w:t>labs</w:t>
      </w:r>
      <w:proofErr w:type="spellEnd"/>
      <w:r>
        <w:rPr>
          <w:rFonts w:ascii="Verdana" w:eastAsia="Verdana" w:hAnsi="Verdana" w:cs="Verdana"/>
          <w:sz w:val="18"/>
          <w:szCs w:val="18"/>
        </w:rPr>
        <w:t xml:space="preserve"> et d’innovation sociale pour renforcer la compréhension croisée de ces notions et ainsi mieux définir les cadres et les postures d’intervention des praticiens de l’innovation ouverte. C’est donc notamment afin de mettre en relation ces notions (territoires, espaces d’innovation et innovations sociales) que le numéro serait pertinent, car cet angle de comparaison est encore peu exploité par le milieu scientifique, c’est pourquoi n</w:t>
      </w:r>
      <w:r>
        <w:rPr>
          <w:rFonts w:ascii="Verdana" w:eastAsia="Verdana" w:hAnsi="Verdana" w:cs="Verdana"/>
          <w:color w:val="000000"/>
          <w:sz w:val="18"/>
          <w:szCs w:val="18"/>
        </w:rPr>
        <w:t>ous invitons les auteurs à soumettre des articles portant entre autres sur les thèmes suivants :</w:t>
      </w:r>
    </w:p>
    <w:p w14:paraId="0000000A" w14:textId="77777777" w:rsidR="00F03FA9" w:rsidRDefault="00A271DF">
      <w:pPr>
        <w:shd w:val="clear" w:color="auto" w:fill="FFFFFF"/>
        <w:spacing w:line="240" w:lineRule="auto"/>
        <w:jc w:val="both"/>
        <w:rPr>
          <w:rFonts w:ascii="Verdana" w:eastAsia="Verdana" w:hAnsi="Verdana" w:cs="Verdana"/>
          <w:sz w:val="18"/>
          <w:szCs w:val="18"/>
        </w:rPr>
      </w:pPr>
      <w:r>
        <w:rPr>
          <w:rFonts w:ascii="Verdana" w:eastAsia="Verdana" w:hAnsi="Verdana" w:cs="Verdana"/>
          <w:sz w:val="18"/>
          <w:szCs w:val="18"/>
        </w:rPr>
        <w:lastRenderedPageBreak/>
        <w:t xml:space="preserve"> </w:t>
      </w:r>
    </w:p>
    <w:p w14:paraId="0000000B" w14:textId="46611F01" w:rsidR="00F03FA9" w:rsidRDefault="00A271DF">
      <w:pPr>
        <w:numPr>
          <w:ilvl w:val="0"/>
          <w:numId w:val="1"/>
        </w:num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territoire comme matrice, lieu d’implantation et perspective des </w:t>
      </w:r>
      <w:r w:rsidR="00D34F8E">
        <w:rPr>
          <w:rFonts w:ascii="Verdana" w:eastAsia="Verdana" w:hAnsi="Verdana" w:cs="Verdana"/>
          <w:color w:val="000000"/>
          <w:sz w:val="18"/>
          <w:szCs w:val="18"/>
        </w:rPr>
        <w:t xml:space="preserve">living </w:t>
      </w:r>
      <w:proofErr w:type="spellStart"/>
      <w:r w:rsidR="00D34F8E">
        <w:rPr>
          <w:rFonts w:ascii="Verdana" w:eastAsia="Verdana" w:hAnsi="Verdana" w:cs="Verdana"/>
          <w:color w:val="000000"/>
          <w:sz w:val="18"/>
          <w:szCs w:val="18"/>
        </w:rPr>
        <w:t>labs</w:t>
      </w:r>
      <w:proofErr w:type="spellEnd"/>
      <w:r>
        <w:rPr>
          <w:rFonts w:ascii="Verdana" w:eastAsia="Verdana" w:hAnsi="Verdana" w:cs="Verdana"/>
          <w:color w:val="000000"/>
          <w:sz w:val="18"/>
          <w:szCs w:val="18"/>
        </w:rPr>
        <w:t xml:space="preserve">. Comment prendre en compte la dimension territoriale dans la construction d’un </w:t>
      </w:r>
      <w:r w:rsidR="00D34F8E">
        <w:rPr>
          <w:rFonts w:ascii="Verdana" w:eastAsia="Verdana" w:hAnsi="Verdana" w:cs="Verdana"/>
          <w:color w:val="000000"/>
          <w:sz w:val="18"/>
          <w:szCs w:val="18"/>
        </w:rPr>
        <w:t xml:space="preserve">living </w:t>
      </w:r>
      <w:proofErr w:type="spellStart"/>
      <w:r w:rsidR="00D34F8E">
        <w:rPr>
          <w:rFonts w:ascii="Verdana" w:eastAsia="Verdana" w:hAnsi="Verdana" w:cs="Verdana"/>
          <w:color w:val="000000"/>
          <w:sz w:val="18"/>
          <w:szCs w:val="18"/>
        </w:rPr>
        <w:t>lab</w:t>
      </w:r>
      <w:proofErr w:type="spellEnd"/>
      <w:r>
        <w:rPr>
          <w:rFonts w:ascii="Verdana" w:eastAsia="Verdana" w:hAnsi="Verdana" w:cs="Verdana"/>
          <w:color w:val="000000"/>
          <w:sz w:val="18"/>
          <w:szCs w:val="18"/>
        </w:rPr>
        <w:t xml:space="preserve"> ? Quels enjeux soulèvent la notion de territoire (spatialisation, échelles d’actions, relations de pouvoirs, gouvernance, économie politique…)</w:t>
      </w:r>
      <w:r w:rsidR="00C301E0">
        <w:rPr>
          <w:rFonts w:ascii="Verdana" w:eastAsia="Verdana" w:hAnsi="Verdana" w:cs="Verdana"/>
          <w:color w:val="000000"/>
          <w:sz w:val="18"/>
          <w:szCs w:val="18"/>
        </w:rPr>
        <w:t xml:space="preserve"> au travers du prisme d’un laboratoire vivant</w:t>
      </w:r>
      <w:r>
        <w:rPr>
          <w:rFonts w:ascii="Verdana" w:eastAsia="Verdana" w:hAnsi="Verdana" w:cs="Verdana"/>
          <w:color w:val="000000"/>
          <w:sz w:val="18"/>
          <w:szCs w:val="18"/>
        </w:rPr>
        <w:t xml:space="preserve"> ? </w:t>
      </w:r>
    </w:p>
    <w:p w14:paraId="0000000C" w14:textId="61B0726A" w:rsidR="00F03FA9" w:rsidRDefault="00A271DF">
      <w:pPr>
        <w:numPr>
          <w:ilvl w:val="0"/>
          <w:numId w:val="1"/>
        </w:num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Portrait et caractérisation des </w:t>
      </w:r>
      <w:r w:rsidR="00D34F8E">
        <w:rPr>
          <w:rFonts w:ascii="Verdana" w:eastAsia="Verdana" w:hAnsi="Verdana" w:cs="Verdana"/>
          <w:color w:val="000000"/>
          <w:sz w:val="18"/>
          <w:szCs w:val="18"/>
        </w:rPr>
        <w:t xml:space="preserve">living </w:t>
      </w:r>
      <w:proofErr w:type="spellStart"/>
      <w:r w:rsidR="00D34F8E">
        <w:rPr>
          <w:rFonts w:ascii="Verdana" w:eastAsia="Verdana" w:hAnsi="Verdana" w:cs="Verdana"/>
          <w:color w:val="000000"/>
          <w:sz w:val="18"/>
          <w:szCs w:val="18"/>
        </w:rPr>
        <w:t>labs</w:t>
      </w:r>
      <w:proofErr w:type="spellEnd"/>
      <w:r>
        <w:rPr>
          <w:rFonts w:ascii="Verdana" w:eastAsia="Verdana" w:hAnsi="Verdana" w:cs="Verdana"/>
          <w:color w:val="000000"/>
          <w:sz w:val="18"/>
          <w:szCs w:val="18"/>
        </w:rPr>
        <w:t xml:space="preserve"> : état des lieux et typologie de leurs activités et leurs pratiques. </w:t>
      </w:r>
    </w:p>
    <w:p w14:paraId="0000000D" w14:textId="019E41EE" w:rsidR="00F03FA9" w:rsidRDefault="00A271DF">
      <w:pPr>
        <w:numPr>
          <w:ilvl w:val="0"/>
          <w:numId w:val="1"/>
        </w:num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Place et rôle des acteurs de l’innovation sociale dans </w:t>
      </w:r>
      <w:proofErr w:type="gramStart"/>
      <w:r>
        <w:rPr>
          <w:rFonts w:ascii="Verdana" w:eastAsia="Verdana" w:hAnsi="Verdana" w:cs="Verdana"/>
          <w:color w:val="000000"/>
          <w:sz w:val="18"/>
          <w:szCs w:val="18"/>
        </w:rPr>
        <w:t>les</w:t>
      </w:r>
      <w:r w:rsidR="00D34F8E">
        <w:rPr>
          <w:rFonts w:ascii="Verdana" w:eastAsia="Verdana" w:hAnsi="Verdana" w:cs="Verdana"/>
          <w:color w:val="000000"/>
          <w:sz w:val="18"/>
          <w:szCs w:val="18"/>
        </w:rPr>
        <w:t xml:space="preserve"> living</w:t>
      </w:r>
      <w:proofErr w:type="gramEnd"/>
      <w:r w:rsidR="00D34F8E">
        <w:rPr>
          <w:rFonts w:ascii="Verdana" w:eastAsia="Verdana" w:hAnsi="Verdana" w:cs="Verdana"/>
          <w:color w:val="000000"/>
          <w:sz w:val="18"/>
          <w:szCs w:val="18"/>
        </w:rPr>
        <w:t xml:space="preserve"> </w:t>
      </w:r>
      <w:proofErr w:type="spellStart"/>
      <w:r w:rsidR="00D34F8E">
        <w:rPr>
          <w:rFonts w:ascii="Verdana" w:eastAsia="Verdana" w:hAnsi="Verdana" w:cs="Verdana"/>
          <w:color w:val="000000"/>
          <w:sz w:val="18"/>
          <w:szCs w:val="18"/>
        </w:rPr>
        <w:t>labs</w:t>
      </w:r>
      <w:proofErr w:type="spellEnd"/>
      <w:r>
        <w:rPr>
          <w:rFonts w:ascii="Verdana" w:eastAsia="Verdana" w:hAnsi="Verdana" w:cs="Verdana"/>
          <w:color w:val="000000"/>
          <w:sz w:val="18"/>
          <w:szCs w:val="18"/>
        </w:rPr>
        <w:t xml:space="preserve"> : mieux connaître les catégories d’acteurs qui y participent (créateurs, </w:t>
      </w:r>
      <w:proofErr w:type="spellStart"/>
      <w:r>
        <w:rPr>
          <w:rFonts w:ascii="Verdana" w:eastAsia="Verdana" w:hAnsi="Verdana" w:cs="Verdana"/>
          <w:i/>
          <w:color w:val="000000"/>
          <w:sz w:val="18"/>
          <w:szCs w:val="18"/>
        </w:rPr>
        <w:t>community</w:t>
      </w:r>
      <w:proofErr w:type="spellEnd"/>
      <w:r>
        <w:rPr>
          <w:rFonts w:ascii="Verdana" w:eastAsia="Verdana" w:hAnsi="Verdana" w:cs="Verdana"/>
          <w:i/>
          <w:color w:val="000000"/>
          <w:sz w:val="18"/>
          <w:szCs w:val="18"/>
        </w:rPr>
        <w:t xml:space="preserve"> manager</w:t>
      </w:r>
      <w:r>
        <w:rPr>
          <w:rFonts w:ascii="Verdana" w:eastAsia="Verdana" w:hAnsi="Verdana" w:cs="Verdana"/>
          <w:color w:val="000000"/>
          <w:sz w:val="18"/>
          <w:szCs w:val="18"/>
        </w:rPr>
        <w:t xml:space="preserve">, parties-prenantes, </w:t>
      </w:r>
      <w:proofErr w:type="spellStart"/>
      <w:r>
        <w:rPr>
          <w:rFonts w:ascii="Verdana" w:eastAsia="Verdana" w:hAnsi="Verdana" w:cs="Verdana"/>
          <w:color w:val="000000"/>
          <w:sz w:val="18"/>
          <w:szCs w:val="18"/>
        </w:rPr>
        <w:t>et-ou</w:t>
      </w:r>
      <w:proofErr w:type="spellEnd"/>
      <w:r>
        <w:rPr>
          <w:rFonts w:ascii="Verdana" w:eastAsia="Verdana" w:hAnsi="Verdana" w:cs="Verdana"/>
          <w:color w:val="000000"/>
          <w:sz w:val="18"/>
          <w:szCs w:val="18"/>
        </w:rPr>
        <w:t xml:space="preserve"> bénéficiaires) ; établir un lien entre les actions présentes dans les </w:t>
      </w:r>
      <w:r w:rsidR="00D34F8E">
        <w:rPr>
          <w:rFonts w:ascii="Verdana" w:eastAsia="Verdana" w:hAnsi="Verdana" w:cs="Verdana"/>
          <w:color w:val="000000"/>
          <w:sz w:val="18"/>
          <w:szCs w:val="18"/>
        </w:rPr>
        <w:t xml:space="preserve">living </w:t>
      </w:r>
      <w:proofErr w:type="spellStart"/>
      <w:r w:rsidR="00D34F8E">
        <w:rPr>
          <w:rFonts w:ascii="Verdana" w:eastAsia="Verdana" w:hAnsi="Verdana" w:cs="Verdana"/>
          <w:color w:val="000000"/>
          <w:sz w:val="18"/>
          <w:szCs w:val="18"/>
        </w:rPr>
        <w:t>labs</w:t>
      </w:r>
      <w:proofErr w:type="spellEnd"/>
      <w:r>
        <w:rPr>
          <w:rFonts w:ascii="Verdana" w:eastAsia="Verdana" w:hAnsi="Verdana" w:cs="Verdana"/>
          <w:color w:val="000000"/>
          <w:sz w:val="18"/>
          <w:szCs w:val="18"/>
        </w:rPr>
        <w:t xml:space="preserve"> et les innovations sociales.</w:t>
      </w:r>
    </w:p>
    <w:p w14:paraId="0000000E" w14:textId="5DA9A444" w:rsidR="00F03FA9" w:rsidRDefault="00A271DF">
      <w:pPr>
        <w:numPr>
          <w:ilvl w:val="0"/>
          <w:numId w:val="1"/>
        </w:numPr>
        <w:pBdr>
          <w:top w:val="nil"/>
          <w:left w:val="nil"/>
          <w:bottom w:val="nil"/>
          <w:right w:val="nil"/>
          <w:between w:val="nil"/>
        </w:pBdr>
        <w:shd w:val="clear" w:color="auto" w:fill="FFFFFF"/>
        <w:spacing w:line="240" w:lineRule="auto"/>
        <w:jc w:val="both"/>
        <w:rPr>
          <w:rFonts w:ascii="Verdana" w:eastAsia="Verdana" w:hAnsi="Verdana" w:cs="Verdana"/>
          <w:color w:val="000000"/>
          <w:sz w:val="18"/>
          <w:szCs w:val="18"/>
        </w:rPr>
      </w:pPr>
      <w:r>
        <w:rPr>
          <w:rFonts w:ascii="Verdana" w:eastAsia="Verdana" w:hAnsi="Verdana" w:cs="Verdana"/>
          <w:color w:val="000000"/>
          <w:sz w:val="18"/>
          <w:szCs w:val="18"/>
        </w:rPr>
        <w:t>Actions et impacts sur les territoires et les communautés : passer en revue différentes initiatives ayant été mises en place au sein de ces</w:t>
      </w:r>
      <w:r w:rsidR="00D34F8E">
        <w:rPr>
          <w:rFonts w:ascii="Verdana" w:eastAsia="Verdana" w:hAnsi="Verdana" w:cs="Verdana"/>
          <w:color w:val="000000"/>
          <w:sz w:val="18"/>
          <w:szCs w:val="18"/>
        </w:rPr>
        <w:t xml:space="preserve"> living </w:t>
      </w:r>
      <w:proofErr w:type="spellStart"/>
      <w:r w:rsidR="00D34F8E">
        <w:rPr>
          <w:rFonts w:ascii="Verdana" w:eastAsia="Verdana" w:hAnsi="Verdana" w:cs="Verdana"/>
          <w:color w:val="000000"/>
          <w:sz w:val="18"/>
          <w:szCs w:val="18"/>
        </w:rPr>
        <w:t>labs</w:t>
      </w:r>
      <w:proofErr w:type="spellEnd"/>
      <w:r>
        <w:rPr>
          <w:rFonts w:ascii="Verdana" w:eastAsia="Verdana" w:hAnsi="Verdana" w:cs="Verdana"/>
          <w:color w:val="000000"/>
          <w:sz w:val="18"/>
          <w:szCs w:val="18"/>
        </w:rPr>
        <w:t xml:space="preserve"> afin de résoudre certaines problématiques (économique, politique, sociale…) et tenter d’évaluer leurs retombées sur les territoires et les communautés, y compris en matière d’innovations sociales et de développement local.</w:t>
      </w:r>
    </w:p>
    <w:p w14:paraId="0000000F" w14:textId="77777777" w:rsidR="00F03FA9" w:rsidRDefault="00F03FA9">
      <w:pPr>
        <w:spacing w:line="240" w:lineRule="auto"/>
        <w:jc w:val="both"/>
        <w:rPr>
          <w:rFonts w:ascii="Verdana" w:eastAsia="Verdana" w:hAnsi="Verdana" w:cs="Verdana"/>
          <w:sz w:val="18"/>
          <w:szCs w:val="18"/>
          <w:highlight w:val="white"/>
        </w:rPr>
      </w:pPr>
    </w:p>
    <w:p w14:paraId="7DCC84BC" w14:textId="5AFC6C03" w:rsidR="000C6BDE" w:rsidRDefault="00A271DF" w:rsidP="000C6BDE">
      <w:pPr>
        <w:spacing w:line="240" w:lineRule="auto"/>
        <w:jc w:val="both"/>
        <w:rPr>
          <w:rFonts w:ascii="Verdana" w:eastAsia="Verdana" w:hAnsi="Verdana" w:cs="Verdana"/>
          <w:sz w:val="18"/>
          <w:szCs w:val="18"/>
        </w:rPr>
      </w:pPr>
      <w:r>
        <w:rPr>
          <w:rFonts w:ascii="Verdana" w:eastAsia="Verdana" w:hAnsi="Verdana" w:cs="Verdana"/>
          <w:sz w:val="18"/>
          <w:szCs w:val="18"/>
          <w:highlight w:val="white"/>
        </w:rPr>
        <w:t>En somme, il s’agira de tenter, au travers de c</w:t>
      </w:r>
      <w:r w:rsidR="007104AA">
        <w:rPr>
          <w:rFonts w:ascii="Verdana" w:eastAsia="Verdana" w:hAnsi="Verdana" w:cs="Verdana"/>
          <w:sz w:val="18"/>
          <w:szCs w:val="18"/>
          <w:highlight w:val="white"/>
        </w:rPr>
        <w:t>ette publication</w:t>
      </w:r>
      <w:r>
        <w:rPr>
          <w:rFonts w:ascii="Verdana" w:eastAsia="Verdana" w:hAnsi="Verdana" w:cs="Verdana"/>
          <w:sz w:val="18"/>
          <w:szCs w:val="18"/>
          <w:highlight w:val="white"/>
        </w:rPr>
        <w:t>, de mieux connaître les dimensions territoriales et les différents acteurs (créateurs, animateurs-facilitateurs et utilisateurs) de</w:t>
      </w:r>
      <w:r w:rsidR="00D34F8E">
        <w:rPr>
          <w:rFonts w:ascii="Verdana" w:eastAsia="Verdana" w:hAnsi="Verdana" w:cs="Verdana"/>
          <w:sz w:val="18"/>
          <w:szCs w:val="18"/>
          <w:highlight w:val="white"/>
        </w:rPr>
        <w:t xml:space="preserve">s living </w:t>
      </w:r>
      <w:proofErr w:type="spellStart"/>
      <w:r w:rsidR="00D34F8E">
        <w:rPr>
          <w:rFonts w:ascii="Verdana" w:eastAsia="Verdana" w:hAnsi="Verdana" w:cs="Verdana"/>
          <w:sz w:val="18"/>
          <w:szCs w:val="18"/>
          <w:highlight w:val="white"/>
        </w:rPr>
        <w:t>labs</w:t>
      </w:r>
      <w:proofErr w:type="spellEnd"/>
      <w:r>
        <w:rPr>
          <w:rFonts w:ascii="Verdana" w:eastAsia="Verdana" w:hAnsi="Verdana" w:cs="Verdana"/>
          <w:sz w:val="18"/>
          <w:szCs w:val="18"/>
          <w:highlight w:val="white"/>
        </w:rPr>
        <w:t>, d’</w:t>
      </w:r>
      <w:r w:rsidR="00D34F8E">
        <w:rPr>
          <w:rFonts w:ascii="Verdana" w:eastAsia="Verdana" w:hAnsi="Verdana" w:cs="Verdana"/>
          <w:sz w:val="18"/>
          <w:szCs w:val="18"/>
          <w:highlight w:val="white"/>
        </w:rPr>
        <w:t xml:space="preserve">en </w:t>
      </w:r>
      <w:r>
        <w:rPr>
          <w:rFonts w:ascii="Verdana" w:eastAsia="Verdana" w:hAnsi="Verdana" w:cs="Verdana"/>
          <w:sz w:val="18"/>
          <w:szCs w:val="18"/>
          <w:highlight w:val="white"/>
        </w:rPr>
        <w:t>établir une catégorisation, mais aussi une typologie par les résultats obtenus et de mesurer l’impact de ces initiatives sur un territoire et une populat</w:t>
      </w:r>
      <w:bookmarkStart w:id="0" w:name="_GoBack"/>
      <w:bookmarkEnd w:id="0"/>
      <w:r>
        <w:rPr>
          <w:rFonts w:ascii="Verdana" w:eastAsia="Verdana" w:hAnsi="Verdana" w:cs="Verdana"/>
          <w:sz w:val="18"/>
          <w:szCs w:val="18"/>
          <w:highlight w:val="white"/>
        </w:rPr>
        <w:t>ion donnée, notamment en matière d’innovations sociales et sur les domaines en lien avec l’économie, voire l’économie politique.</w:t>
      </w:r>
    </w:p>
    <w:p w14:paraId="49D4F1A4" w14:textId="0946EC1C" w:rsidR="000C6BDE" w:rsidRPr="000C6BDE" w:rsidRDefault="00A271DF">
      <w:pPr>
        <w:shd w:val="clear" w:color="auto" w:fill="FFFFFF"/>
        <w:spacing w:before="240" w:after="240" w:line="240" w:lineRule="auto"/>
        <w:jc w:val="both"/>
        <w:rPr>
          <w:rFonts w:ascii="Verdana" w:eastAsia="Verdana" w:hAnsi="Verdana" w:cs="Verdana"/>
          <w:b/>
          <w:color w:val="000000"/>
          <w:sz w:val="18"/>
          <w:szCs w:val="18"/>
        </w:rPr>
      </w:pPr>
      <w:r>
        <w:rPr>
          <w:rFonts w:ascii="Verdana" w:eastAsia="Verdana" w:hAnsi="Verdana" w:cs="Verdana"/>
          <w:b/>
          <w:color w:val="000000"/>
          <w:sz w:val="18"/>
          <w:szCs w:val="18"/>
        </w:rPr>
        <w:t>Dates importantes :</w:t>
      </w:r>
    </w:p>
    <w:p w14:paraId="00000012" w14:textId="56FDD892" w:rsidR="00F03FA9" w:rsidRDefault="00A271DF">
      <w:pPr>
        <w:shd w:val="clear" w:color="auto" w:fill="FFFFFF"/>
        <w:spacing w:before="240" w:after="240"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Proposition d’article (1 page) :</w:t>
      </w:r>
      <w:r>
        <w:rPr>
          <w:rFonts w:ascii="Verdana" w:eastAsia="Verdana" w:hAnsi="Verdana" w:cs="Verdana"/>
          <w:color w:val="000000"/>
          <w:sz w:val="18"/>
          <w:szCs w:val="18"/>
        </w:rPr>
        <w:t> </w:t>
      </w:r>
      <w:r w:rsidR="000C6BDE">
        <w:rPr>
          <w:rFonts w:ascii="Verdana" w:eastAsia="Verdana" w:hAnsi="Verdana" w:cs="Verdana"/>
          <w:color w:val="000000"/>
          <w:sz w:val="18"/>
          <w:szCs w:val="18"/>
        </w:rPr>
        <w:t>vendredi</w:t>
      </w:r>
      <w:r w:rsidR="00D34F8E">
        <w:rPr>
          <w:rFonts w:ascii="Verdana" w:eastAsia="Verdana" w:hAnsi="Verdana" w:cs="Verdana"/>
          <w:color w:val="000000"/>
          <w:sz w:val="18"/>
          <w:szCs w:val="18"/>
        </w:rPr>
        <w:t xml:space="preserve"> </w:t>
      </w:r>
      <w:r w:rsidR="00A158E5">
        <w:rPr>
          <w:rFonts w:ascii="Verdana" w:eastAsia="Verdana" w:hAnsi="Verdana" w:cs="Verdana"/>
          <w:color w:val="000000"/>
          <w:sz w:val="18"/>
          <w:szCs w:val="18"/>
        </w:rPr>
        <w:t>25 juin 2021</w:t>
      </w:r>
    </w:p>
    <w:p w14:paraId="00000013" w14:textId="53D4CC3F" w:rsidR="00F03FA9" w:rsidRDefault="00A271DF">
      <w:pPr>
        <w:shd w:val="clear" w:color="auto" w:fill="FFFFFF"/>
        <w:spacing w:before="240" w:after="240"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Article complet :</w:t>
      </w:r>
      <w:r>
        <w:rPr>
          <w:rFonts w:ascii="Verdana" w:eastAsia="Verdana" w:hAnsi="Verdana" w:cs="Verdana"/>
          <w:color w:val="000000"/>
          <w:sz w:val="18"/>
          <w:szCs w:val="18"/>
        </w:rPr>
        <w:t> </w:t>
      </w:r>
      <w:r w:rsidR="00A158E5">
        <w:rPr>
          <w:rFonts w:ascii="Verdana" w:eastAsia="Verdana" w:hAnsi="Verdana" w:cs="Verdana"/>
          <w:color w:val="000000"/>
          <w:sz w:val="18"/>
          <w:szCs w:val="18"/>
        </w:rPr>
        <w:t>Vendredi 29</w:t>
      </w:r>
      <w:r w:rsidR="000C6BDE">
        <w:rPr>
          <w:rFonts w:ascii="Verdana" w:eastAsia="Verdana" w:hAnsi="Verdana" w:cs="Verdana"/>
          <w:color w:val="000000"/>
          <w:sz w:val="18"/>
          <w:szCs w:val="18"/>
        </w:rPr>
        <w:t xml:space="preserve"> </w:t>
      </w:r>
      <w:r w:rsidR="00A158E5">
        <w:rPr>
          <w:rFonts w:ascii="Verdana" w:eastAsia="Verdana" w:hAnsi="Verdana" w:cs="Verdana"/>
          <w:color w:val="000000"/>
          <w:sz w:val="18"/>
          <w:szCs w:val="18"/>
        </w:rPr>
        <w:t xml:space="preserve">octobre </w:t>
      </w:r>
      <w:r>
        <w:rPr>
          <w:rFonts w:ascii="Verdana" w:eastAsia="Verdana" w:hAnsi="Verdana" w:cs="Verdana"/>
          <w:color w:val="000000"/>
          <w:sz w:val="18"/>
          <w:szCs w:val="18"/>
        </w:rPr>
        <w:t>2021</w:t>
      </w:r>
    </w:p>
    <w:p w14:paraId="00000014" w14:textId="168D06F1" w:rsidR="00F03FA9" w:rsidRDefault="00A271DF">
      <w:pPr>
        <w:shd w:val="clear" w:color="auto" w:fill="FFFFFF"/>
        <w:spacing w:before="240" w:after="240"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Sortie du numéro :</w:t>
      </w:r>
      <w:r>
        <w:rPr>
          <w:rFonts w:ascii="Verdana" w:eastAsia="Verdana" w:hAnsi="Verdana" w:cs="Verdana"/>
          <w:color w:val="000000"/>
          <w:sz w:val="18"/>
          <w:szCs w:val="18"/>
        </w:rPr>
        <w:t> vers ma</w:t>
      </w:r>
      <w:r w:rsidR="00A158E5">
        <w:rPr>
          <w:rFonts w:ascii="Verdana" w:eastAsia="Verdana" w:hAnsi="Verdana" w:cs="Verdana"/>
          <w:color w:val="000000"/>
          <w:sz w:val="18"/>
          <w:szCs w:val="18"/>
        </w:rPr>
        <w:t>i</w:t>
      </w:r>
      <w:r>
        <w:rPr>
          <w:rFonts w:ascii="Verdana" w:eastAsia="Verdana" w:hAnsi="Verdana" w:cs="Verdana"/>
          <w:color w:val="000000"/>
          <w:sz w:val="18"/>
          <w:szCs w:val="18"/>
        </w:rPr>
        <w:t xml:space="preserve"> 2022</w:t>
      </w:r>
    </w:p>
    <w:p w14:paraId="00000015" w14:textId="77777777" w:rsidR="00F03FA9" w:rsidRDefault="00A271DF">
      <w:pPr>
        <w:shd w:val="clear" w:color="auto" w:fill="FFFFFF"/>
        <w:spacing w:before="240" w:after="240"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Envoyez vos propositions et votre texte aux adresses suivantes :</w:t>
      </w:r>
    </w:p>
    <w:p w14:paraId="00000016" w14:textId="77777777" w:rsidR="00F03FA9" w:rsidRDefault="00FB3998">
      <w:pPr>
        <w:shd w:val="clear" w:color="auto" w:fill="FFFFFF"/>
        <w:spacing w:before="240" w:after="240" w:line="240" w:lineRule="auto"/>
        <w:jc w:val="both"/>
        <w:rPr>
          <w:rFonts w:ascii="Verdana" w:eastAsia="Verdana" w:hAnsi="Verdana" w:cs="Verdana"/>
          <w:color w:val="000000"/>
          <w:sz w:val="18"/>
          <w:szCs w:val="18"/>
        </w:rPr>
      </w:pPr>
      <w:hyperlink r:id="rId7">
        <w:r w:rsidR="00A271DF">
          <w:rPr>
            <w:rFonts w:ascii="Verdana" w:eastAsia="Verdana" w:hAnsi="Verdana" w:cs="Verdana"/>
            <w:color w:val="0563C1"/>
            <w:sz w:val="18"/>
            <w:szCs w:val="18"/>
            <w:u w:val="single"/>
          </w:rPr>
          <w:t>arnaud.scaillerez@umoncton.ca</w:t>
        </w:r>
      </w:hyperlink>
    </w:p>
    <w:p w14:paraId="00000017" w14:textId="77777777" w:rsidR="00F03FA9" w:rsidRDefault="00FB3998">
      <w:pPr>
        <w:shd w:val="clear" w:color="auto" w:fill="FFFFFF"/>
        <w:spacing w:before="240" w:after="240" w:line="240" w:lineRule="auto"/>
        <w:jc w:val="both"/>
        <w:rPr>
          <w:rFonts w:ascii="Verdana" w:eastAsia="Verdana" w:hAnsi="Verdana" w:cs="Verdana"/>
          <w:sz w:val="18"/>
          <w:szCs w:val="18"/>
        </w:rPr>
      </w:pPr>
      <w:hyperlink r:id="rId8">
        <w:r w:rsidR="00A271DF">
          <w:rPr>
            <w:rFonts w:ascii="Verdana" w:eastAsia="Verdana" w:hAnsi="Verdana" w:cs="Verdana"/>
            <w:color w:val="0563C1"/>
            <w:sz w:val="18"/>
            <w:szCs w:val="18"/>
            <w:u w:val="single"/>
          </w:rPr>
          <w:t>david.guimont@llio.quebec</w:t>
        </w:r>
      </w:hyperlink>
    </w:p>
    <w:p w14:paraId="00000018" w14:textId="77777777" w:rsidR="00F03FA9" w:rsidRDefault="00A271DF">
      <w:pPr>
        <w:shd w:val="clear" w:color="auto" w:fill="FFFFFF"/>
        <w:spacing w:before="240" w:after="240" w:line="240" w:lineRule="auto"/>
        <w:jc w:val="both"/>
        <w:rPr>
          <w:rFonts w:ascii="Verdana" w:eastAsia="Verdana" w:hAnsi="Verdana" w:cs="Verdana"/>
          <w:sz w:val="18"/>
          <w:szCs w:val="18"/>
        </w:rPr>
      </w:pPr>
      <w:proofErr w:type="spellStart"/>
      <w:r>
        <w:rPr>
          <w:rFonts w:ascii="Verdana" w:eastAsia="Verdana" w:hAnsi="Verdana" w:cs="Verdana"/>
          <w:sz w:val="18"/>
          <w:szCs w:val="18"/>
        </w:rPr>
        <w:t>steve.joncoux@llio.quebec</w:t>
      </w:r>
      <w:proofErr w:type="spellEnd"/>
    </w:p>
    <w:p w14:paraId="00000019" w14:textId="77777777" w:rsidR="00F03FA9" w:rsidRDefault="00A271DF">
      <w:pPr>
        <w:shd w:val="clear" w:color="auto" w:fill="FFFFFF"/>
        <w:spacing w:before="240" w:after="240" w:line="240" w:lineRule="auto"/>
        <w:jc w:val="both"/>
        <w:rPr>
          <w:rFonts w:ascii="Verdana" w:eastAsia="Verdana" w:hAnsi="Verdana" w:cs="Verdana"/>
          <w:color w:val="000000"/>
          <w:sz w:val="18"/>
          <w:szCs w:val="18"/>
        </w:rPr>
      </w:pPr>
      <w:r>
        <w:rPr>
          <w:rFonts w:ascii="Verdana" w:eastAsia="Verdana" w:hAnsi="Verdana" w:cs="Verdana"/>
          <w:b/>
          <w:color w:val="000000"/>
          <w:sz w:val="18"/>
          <w:szCs w:val="18"/>
        </w:rPr>
        <w:t>Pour les consignes de mise en forme et d’édition de votre article, voir :</w:t>
      </w:r>
    </w:p>
    <w:p w14:paraId="0000001A" w14:textId="77777777" w:rsidR="00F03FA9" w:rsidRDefault="00FB3998">
      <w:pPr>
        <w:shd w:val="clear" w:color="auto" w:fill="FFFFFF"/>
        <w:spacing w:before="240" w:after="240" w:line="240" w:lineRule="auto"/>
        <w:jc w:val="both"/>
        <w:rPr>
          <w:rFonts w:ascii="Verdana" w:eastAsia="Verdana" w:hAnsi="Verdana" w:cs="Verdana"/>
          <w:color w:val="000000"/>
          <w:sz w:val="18"/>
          <w:szCs w:val="18"/>
        </w:rPr>
      </w:pPr>
      <w:hyperlink r:id="rId9">
        <w:r w:rsidR="00A271DF">
          <w:rPr>
            <w:rFonts w:ascii="Verdana" w:eastAsia="Verdana" w:hAnsi="Verdana" w:cs="Verdana"/>
            <w:color w:val="953C83"/>
            <w:sz w:val="18"/>
            <w:szCs w:val="18"/>
            <w:u w:val="single"/>
          </w:rPr>
          <w:t>https://journals.openedition.org/interventionseconomiques/65</w:t>
        </w:r>
      </w:hyperlink>
    </w:p>
    <w:p w14:paraId="0000001B" w14:textId="77777777" w:rsidR="00F03FA9" w:rsidRDefault="00A271DF">
      <w:pPr>
        <w:shd w:val="clear" w:color="auto" w:fill="FFFFFF"/>
        <w:spacing w:line="240" w:lineRule="auto"/>
        <w:jc w:val="both"/>
        <w:rPr>
          <w:b/>
        </w:rPr>
      </w:pPr>
      <w:r>
        <w:rPr>
          <w:b/>
        </w:rPr>
        <w:t xml:space="preserve">Bibliographie : </w:t>
      </w:r>
    </w:p>
    <w:p w14:paraId="0000001C" w14:textId="77777777" w:rsidR="00F03FA9" w:rsidRPr="00D34F8E" w:rsidRDefault="00A271DF" w:rsidP="00D34F8E">
      <w:pPr>
        <w:spacing w:before="80" w:after="80" w:line="240" w:lineRule="auto"/>
        <w:ind w:left="566" w:hanging="570"/>
        <w:jc w:val="both"/>
        <w:rPr>
          <w:sz w:val="20"/>
          <w:szCs w:val="20"/>
          <w:highlight w:val="white"/>
        </w:rPr>
      </w:pPr>
      <w:r w:rsidRPr="00D34F8E">
        <w:rPr>
          <w:sz w:val="20"/>
          <w:szCs w:val="20"/>
          <w:highlight w:val="white"/>
        </w:rPr>
        <w:t xml:space="preserve">Andrew, Caroline, Juan-Luis Klein. </w:t>
      </w:r>
      <w:r w:rsidRPr="00D34F8E">
        <w:rPr>
          <w:sz w:val="20"/>
          <w:szCs w:val="20"/>
          <w:highlight w:val="white"/>
          <w:lang w:val="en-CA"/>
        </w:rPr>
        <w:t xml:space="preserve">2010. </w:t>
      </w:r>
      <w:r w:rsidRPr="00D34F8E">
        <w:rPr>
          <w:i/>
          <w:sz w:val="20"/>
          <w:szCs w:val="20"/>
          <w:highlight w:val="white"/>
          <w:lang w:val="en-CA"/>
        </w:rPr>
        <w:t>Social Innovation: What is it and why is it important to understand it better</w:t>
      </w:r>
      <w:r w:rsidRPr="00D34F8E">
        <w:rPr>
          <w:sz w:val="20"/>
          <w:szCs w:val="20"/>
          <w:highlight w:val="white"/>
          <w:lang w:val="en-CA"/>
        </w:rPr>
        <w:t xml:space="preserve">. </w:t>
      </w:r>
      <w:r w:rsidRPr="00A158E5">
        <w:rPr>
          <w:sz w:val="20"/>
          <w:szCs w:val="20"/>
          <w:highlight w:val="white"/>
          <w:lang w:val="en-CA"/>
        </w:rPr>
        <w:t xml:space="preserve">Études </w:t>
      </w:r>
      <w:proofErr w:type="spellStart"/>
      <w:r w:rsidRPr="00A158E5">
        <w:rPr>
          <w:sz w:val="20"/>
          <w:szCs w:val="20"/>
          <w:highlight w:val="white"/>
          <w:lang w:val="en-CA"/>
        </w:rPr>
        <w:t>théoriques</w:t>
      </w:r>
      <w:proofErr w:type="spellEnd"/>
      <w:r w:rsidRPr="00A158E5">
        <w:rPr>
          <w:sz w:val="20"/>
          <w:szCs w:val="20"/>
          <w:highlight w:val="white"/>
          <w:lang w:val="en-CA"/>
        </w:rPr>
        <w:t xml:space="preserve"> et </w:t>
      </w:r>
      <w:proofErr w:type="spellStart"/>
      <w:r w:rsidRPr="00A158E5">
        <w:rPr>
          <w:sz w:val="20"/>
          <w:szCs w:val="20"/>
          <w:highlight w:val="white"/>
          <w:lang w:val="en-CA"/>
        </w:rPr>
        <w:t>méthodologiques</w:t>
      </w:r>
      <w:proofErr w:type="spellEnd"/>
      <w:r w:rsidRPr="00A158E5">
        <w:rPr>
          <w:sz w:val="20"/>
          <w:szCs w:val="20"/>
          <w:highlight w:val="white"/>
          <w:lang w:val="en-CA"/>
        </w:rPr>
        <w:t xml:space="preserve">, </w:t>
      </w:r>
      <w:proofErr w:type="spellStart"/>
      <w:r w:rsidRPr="00A158E5">
        <w:rPr>
          <w:sz w:val="20"/>
          <w:szCs w:val="20"/>
          <w:highlight w:val="white"/>
          <w:lang w:val="en-CA"/>
        </w:rPr>
        <w:t>numéro</w:t>
      </w:r>
      <w:proofErr w:type="spellEnd"/>
      <w:r w:rsidRPr="00A158E5">
        <w:rPr>
          <w:sz w:val="20"/>
          <w:szCs w:val="20"/>
          <w:highlight w:val="white"/>
          <w:lang w:val="en-CA"/>
        </w:rPr>
        <w:t xml:space="preserve"> ET1003.</w:t>
      </w:r>
      <w:hyperlink r:id="rId10">
        <w:r w:rsidRPr="00A158E5">
          <w:rPr>
            <w:sz w:val="20"/>
            <w:szCs w:val="20"/>
            <w:highlight w:val="white"/>
            <w:lang w:val="en-CA"/>
          </w:rPr>
          <w:t xml:space="preserve"> </w:t>
        </w:r>
      </w:hyperlink>
      <w:hyperlink r:id="rId11">
        <w:r w:rsidRPr="00D34F8E">
          <w:rPr>
            <w:color w:val="1155CC"/>
            <w:sz w:val="20"/>
            <w:szCs w:val="20"/>
            <w:highlight w:val="white"/>
            <w:u w:val="single"/>
          </w:rPr>
          <w:t>https://crises.uqam.ca/wp-content/uploads/2018/10/ET1003.pdf</w:t>
        </w:r>
      </w:hyperlink>
    </w:p>
    <w:p w14:paraId="0000001D" w14:textId="77777777" w:rsidR="00F03FA9" w:rsidRPr="00D34F8E" w:rsidRDefault="00A271DF" w:rsidP="00D34F8E">
      <w:pPr>
        <w:spacing w:before="80" w:after="80" w:line="240" w:lineRule="auto"/>
        <w:ind w:left="566" w:hanging="570"/>
        <w:jc w:val="both"/>
        <w:rPr>
          <w:sz w:val="20"/>
          <w:szCs w:val="20"/>
          <w:highlight w:val="white"/>
        </w:rPr>
      </w:pPr>
      <w:r w:rsidRPr="00D34F8E">
        <w:rPr>
          <w:sz w:val="20"/>
          <w:szCs w:val="20"/>
          <w:highlight w:val="white"/>
        </w:rPr>
        <w:t xml:space="preserve">Cloutier, Julie. 2003. </w:t>
      </w:r>
      <w:r w:rsidRPr="00D34F8E">
        <w:rPr>
          <w:i/>
          <w:sz w:val="20"/>
          <w:szCs w:val="20"/>
          <w:highlight w:val="white"/>
        </w:rPr>
        <w:t>Qu’est-ce que l’innovation sociale?</w:t>
      </w:r>
      <w:r w:rsidRPr="00D34F8E">
        <w:rPr>
          <w:sz w:val="20"/>
          <w:szCs w:val="20"/>
          <w:highlight w:val="white"/>
        </w:rPr>
        <w:t xml:space="preserve"> Coll. Études théoriques. Cahiers du CRISES. Montréal, Université du Québec à Montréal, novembre 2003, 48 p.</w:t>
      </w:r>
    </w:p>
    <w:p w14:paraId="0000001E" w14:textId="77777777" w:rsidR="00F03FA9" w:rsidRPr="00D34F8E" w:rsidRDefault="00A271DF" w:rsidP="00D34F8E">
      <w:pPr>
        <w:spacing w:before="80" w:after="80" w:line="240" w:lineRule="auto"/>
        <w:ind w:left="566" w:hanging="570"/>
        <w:jc w:val="both"/>
        <w:rPr>
          <w:sz w:val="20"/>
          <w:szCs w:val="20"/>
          <w:highlight w:val="white"/>
          <w:lang w:val="en-CA"/>
        </w:rPr>
      </w:pPr>
      <w:r w:rsidRPr="00D34F8E">
        <w:rPr>
          <w:sz w:val="20"/>
          <w:szCs w:val="20"/>
          <w:highlight w:val="white"/>
        </w:rPr>
        <w:t xml:space="preserve">Fontan, Jean-Marc, Juan-Luis Klein, et Diane-Gabrielle Tremblay. 2004. « Innovation et société : pour élargir l’analyse des effets territoriaux de l’innovation ». </w:t>
      </w:r>
      <w:proofErr w:type="spellStart"/>
      <w:r w:rsidRPr="00D34F8E">
        <w:rPr>
          <w:sz w:val="20"/>
          <w:szCs w:val="20"/>
          <w:highlight w:val="white"/>
          <w:lang w:val="en-CA"/>
        </w:rPr>
        <w:t>Géographie</w:t>
      </w:r>
      <w:proofErr w:type="spellEnd"/>
      <w:r w:rsidRPr="00D34F8E">
        <w:rPr>
          <w:sz w:val="20"/>
          <w:szCs w:val="20"/>
          <w:highlight w:val="white"/>
          <w:lang w:val="en-CA"/>
        </w:rPr>
        <w:t xml:space="preserve">, </w:t>
      </w:r>
      <w:proofErr w:type="spellStart"/>
      <w:r w:rsidRPr="00D34F8E">
        <w:rPr>
          <w:sz w:val="20"/>
          <w:szCs w:val="20"/>
          <w:highlight w:val="white"/>
          <w:lang w:val="en-CA"/>
        </w:rPr>
        <w:t>économie</w:t>
      </w:r>
      <w:proofErr w:type="spellEnd"/>
      <w:r w:rsidRPr="00D34F8E">
        <w:rPr>
          <w:sz w:val="20"/>
          <w:szCs w:val="20"/>
          <w:highlight w:val="white"/>
          <w:lang w:val="en-CA"/>
        </w:rPr>
        <w:t xml:space="preserve">, </w:t>
      </w:r>
      <w:proofErr w:type="spellStart"/>
      <w:r w:rsidRPr="00D34F8E">
        <w:rPr>
          <w:sz w:val="20"/>
          <w:szCs w:val="20"/>
          <w:highlight w:val="white"/>
          <w:lang w:val="en-CA"/>
        </w:rPr>
        <w:t>société</w:t>
      </w:r>
      <w:proofErr w:type="spellEnd"/>
      <w:r w:rsidRPr="00D34F8E">
        <w:rPr>
          <w:sz w:val="20"/>
          <w:szCs w:val="20"/>
          <w:highlight w:val="white"/>
          <w:lang w:val="en-CA"/>
        </w:rPr>
        <w:t xml:space="preserve"> Vol. 6 (2): 115‑28.</w:t>
      </w:r>
    </w:p>
    <w:p w14:paraId="0000001F" w14:textId="2A428BB0" w:rsidR="00F03FA9" w:rsidRPr="00D34F8E" w:rsidRDefault="00A271DF" w:rsidP="00D34F8E">
      <w:pPr>
        <w:spacing w:before="80" w:after="80" w:line="240" w:lineRule="auto"/>
        <w:ind w:left="566" w:hanging="570"/>
        <w:jc w:val="both"/>
        <w:rPr>
          <w:color w:val="363636"/>
          <w:sz w:val="20"/>
          <w:szCs w:val="20"/>
          <w:highlight w:val="white"/>
          <w:lang w:val="en-CA"/>
        </w:rPr>
      </w:pPr>
      <w:r w:rsidRPr="00D34F8E">
        <w:rPr>
          <w:color w:val="363636"/>
          <w:sz w:val="20"/>
          <w:szCs w:val="20"/>
          <w:highlight w:val="white"/>
          <w:lang w:val="en-CA"/>
        </w:rPr>
        <w:t>Healy, S., 2020. Alternative Economies. In: Kobayashi, A. (Ed.), International Encyclopedia of Human Geography, 2nd edition. vol. 1, Elsevier, pp. 111–117.</w:t>
      </w:r>
    </w:p>
    <w:p w14:paraId="4A8E4C34" w14:textId="77777777" w:rsidR="00D34F8E" w:rsidRPr="00D34F8E" w:rsidRDefault="00D34F8E" w:rsidP="00D34F8E">
      <w:pPr>
        <w:autoSpaceDE w:val="0"/>
        <w:autoSpaceDN w:val="0"/>
        <w:adjustRightInd w:val="0"/>
        <w:spacing w:line="240" w:lineRule="auto"/>
        <w:ind w:left="720" w:hanging="720"/>
        <w:jc w:val="both"/>
        <w:rPr>
          <w:sz w:val="20"/>
          <w:szCs w:val="20"/>
          <w:lang w:val="en-US"/>
        </w:rPr>
      </w:pPr>
      <w:r w:rsidRPr="00D34F8E">
        <w:rPr>
          <w:sz w:val="20"/>
          <w:szCs w:val="20"/>
          <w:lang w:val="en-US"/>
        </w:rPr>
        <w:t xml:space="preserve">Hess, C. (2008). Mapping the new commons. Dans </w:t>
      </w:r>
      <w:r w:rsidRPr="00D34F8E">
        <w:rPr>
          <w:i/>
          <w:iCs/>
          <w:sz w:val="20"/>
          <w:szCs w:val="20"/>
          <w:lang w:val="en-US"/>
        </w:rPr>
        <w:t>Governing Shared Resources: Connecting Local Experience to Global Challenges</w:t>
      </w:r>
      <w:r w:rsidRPr="00D34F8E">
        <w:rPr>
          <w:sz w:val="20"/>
          <w:szCs w:val="20"/>
          <w:lang w:val="en-US"/>
        </w:rPr>
        <w:t>. University of Gloucestershire, Cheltenham, England.</w:t>
      </w:r>
    </w:p>
    <w:p w14:paraId="500E42E7" w14:textId="77777777" w:rsidR="00D34F8E" w:rsidRPr="00C301E0" w:rsidRDefault="00D34F8E" w:rsidP="00D34F8E">
      <w:pPr>
        <w:autoSpaceDE w:val="0"/>
        <w:autoSpaceDN w:val="0"/>
        <w:adjustRightInd w:val="0"/>
        <w:spacing w:line="240" w:lineRule="auto"/>
        <w:ind w:left="720" w:hanging="720"/>
        <w:jc w:val="both"/>
        <w:rPr>
          <w:sz w:val="20"/>
          <w:szCs w:val="20"/>
        </w:rPr>
      </w:pPr>
      <w:r w:rsidRPr="00B251FC">
        <w:rPr>
          <w:sz w:val="20"/>
          <w:szCs w:val="20"/>
          <w:lang w:val="fr-FR"/>
        </w:rPr>
        <w:t xml:space="preserve">Hess, C. et </w:t>
      </w:r>
      <w:proofErr w:type="spellStart"/>
      <w:r w:rsidRPr="00B251FC">
        <w:rPr>
          <w:sz w:val="20"/>
          <w:szCs w:val="20"/>
          <w:lang w:val="fr-FR"/>
        </w:rPr>
        <w:t>Ostrom</w:t>
      </w:r>
      <w:proofErr w:type="spellEnd"/>
      <w:r w:rsidRPr="00B251FC">
        <w:rPr>
          <w:sz w:val="20"/>
          <w:szCs w:val="20"/>
          <w:lang w:val="fr-FR"/>
        </w:rPr>
        <w:t xml:space="preserve">, E. (2007). </w:t>
      </w:r>
      <w:r w:rsidRPr="00D34F8E">
        <w:rPr>
          <w:i/>
          <w:iCs/>
          <w:sz w:val="20"/>
          <w:szCs w:val="20"/>
          <w:lang w:val="en-US"/>
        </w:rPr>
        <w:t xml:space="preserve">Understanding knowledge as a </w:t>
      </w:r>
      <w:proofErr w:type="gramStart"/>
      <w:r w:rsidRPr="00D34F8E">
        <w:rPr>
          <w:i/>
          <w:iCs/>
          <w:sz w:val="20"/>
          <w:szCs w:val="20"/>
          <w:lang w:val="en-US"/>
        </w:rPr>
        <w:t>commons</w:t>
      </w:r>
      <w:proofErr w:type="gramEnd"/>
      <w:r w:rsidRPr="00D34F8E">
        <w:rPr>
          <w:i/>
          <w:iCs/>
          <w:sz w:val="20"/>
          <w:szCs w:val="20"/>
          <w:lang w:val="en-US"/>
        </w:rPr>
        <w:t>: from theory to practice</w:t>
      </w:r>
      <w:r w:rsidRPr="00D34F8E">
        <w:rPr>
          <w:sz w:val="20"/>
          <w:szCs w:val="20"/>
          <w:lang w:val="en-US"/>
        </w:rPr>
        <w:t xml:space="preserve">. </w:t>
      </w:r>
      <w:r w:rsidRPr="00C301E0">
        <w:rPr>
          <w:sz w:val="20"/>
          <w:szCs w:val="20"/>
        </w:rPr>
        <w:t xml:space="preserve">Cambridge, États-Unis: MIT </w:t>
      </w:r>
      <w:proofErr w:type="spellStart"/>
      <w:r w:rsidRPr="00C301E0">
        <w:rPr>
          <w:sz w:val="20"/>
          <w:szCs w:val="20"/>
        </w:rPr>
        <w:t>Press</w:t>
      </w:r>
      <w:proofErr w:type="spellEnd"/>
      <w:r w:rsidRPr="00C301E0">
        <w:rPr>
          <w:sz w:val="20"/>
          <w:szCs w:val="20"/>
        </w:rPr>
        <w:t>.</w:t>
      </w:r>
    </w:p>
    <w:p w14:paraId="00000020" w14:textId="77777777" w:rsidR="00F03FA9" w:rsidRPr="00D34F8E" w:rsidRDefault="00A271DF" w:rsidP="00D34F8E">
      <w:pPr>
        <w:spacing w:before="80" w:after="80" w:line="240" w:lineRule="auto"/>
        <w:ind w:left="566" w:hanging="570"/>
        <w:jc w:val="both"/>
        <w:rPr>
          <w:sz w:val="20"/>
          <w:szCs w:val="20"/>
          <w:highlight w:val="white"/>
        </w:rPr>
      </w:pPr>
      <w:r w:rsidRPr="00D34F8E">
        <w:rPr>
          <w:sz w:val="20"/>
          <w:szCs w:val="20"/>
          <w:highlight w:val="white"/>
        </w:rPr>
        <w:t xml:space="preserve">Krauss, Gerhard, Tremblay Diane-Gabrielle. 2019. </w:t>
      </w:r>
      <w:r w:rsidRPr="00D34F8E">
        <w:rPr>
          <w:i/>
          <w:sz w:val="20"/>
          <w:szCs w:val="20"/>
          <w:highlight w:val="white"/>
        </w:rPr>
        <w:t xml:space="preserve">Tiers-lieux – travailler et entreprendre sur les territoires : Espaces de </w:t>
      </w:r>
      <w:proofErr w:type="spellStart"/>
      <w:r w:rsidRPr="00D34F8E">
        <w:rPr>
          <w:i/>
          <w:sz w:val="20"/>
          <w:szCs w:val="20"/>
          <w:highlight w:val="white"/>
        </w:rPr>
        <w:t>co-working</w:t>
      </w:r>
      <w:proofErr w:type="spellEnd"/>
      <w:r w:rsidRPr="00D34F8E">
        <w:rPr>
          <w:i/>
          <w:sz w:val="20"/>
          <w:szCs w:val="20"/>
          <w:highlight w:val="white"/>
        </w:rPr>
        <w:t xml:space="preserve">, </w:t>
      </w:r>
      <w:proofErr w:type="spellStart"/>
      <w:r w:rsidRPr="00D34F8E">
        <w:rPr>
          <w:i/>
          <w:sz w:val="20"/>
          <w:szCs w:val="20"/>
          <w:highlight w:val="white"/>
        </w:rPr>
        <w:t>fab</w:t>
      </w:r>
      <w:proofErr w:type="spellEnd"/>
      <w:r w:rsidRPr="00D34F8E">
        <w:rPr>
          <w:i/>
          <w:sz w:val="20"/>
          <w:szCs w:val="20"/>
          <w:highlight w:val="white"/>
        </w:rPr>
        <w:t xml:space="preserve"> </w:t>
      </w:r>
      <w:proofErr w:type="spellStart"/>
      <w:r w:rsidRPr="00D34F8E">
        <w:rPr>
          <w:i/>
          <w:sz w:val="20"/>
          <w:szCs w:val="20"/>
          <w:highlight w:val="white"/>
        </w:rPr>
        <w:t>labs</w:t>
      </w:r>
      <w:proofErr w:type="spellEnd"/>
      <w:r w:rsidRPr="00D34F8E">
        <w:rPr>
          <w:i/>
          <w:sz w:val="20"/>
          <w:szCs w:val="20"/>
          <w:highlight w:val="white"/>
        </w:rPr>
        <w:t xml:space="preserve">, hack </w:t>
      </w:r>
      <w:proofErr w:type="spellStart"/>
      <w:r w:rsidRPr="00D34F8E">
        <w:rPr>
          <w:i/>
          <w:sz w:val="20"/>
          <w:szCs w:val="20"/>
          <w:highlight w:val="white"/>
        </w:rPr>
        <w:t>labs</w:t>
      </w:r>
      <w:proofErr w:type="spellEnd"/>
      <w:r w:rsidRPr="00D34F8E">
        <w:rPr>
          <w:sz w:val="20"/>
          <w:szCs w:val="20"/>
          <w:highlight w:val="white"/>
        </w:rPr>
        <w:t>. Rennes et Québec : PUR et PUQ.</w:t>
      </w:r>
    </w:p>
    <w:p w14:paraId="00000021" w14:textId="77777777" w:rsidR="00F03FA9" w:rsidRPr="00D34F8E" w:rsidRDefault="00A271DF" w:rsidP="00D34F8E">
      <w:pPr>
        <w:spacing w:before="80" w:after="80" w:line="240" w:lineRule="auto"/>
        <w:ind w:left="566" w:hanging="570"/>
        <w:jc w:val="both"/>
        <w:rPr>
          <w:sz w:val="20"/>
          <w:szCs w:val="20"/>
          <w:highlight w:val="white"/>
        </w:rPr>
      </w:pPr>
      <w:r w:rsidRPr="00D34F8E">
        <w:rPr>
          <w:sz w:val="20"/>
          <w:szCs w:val="20"/>
          <w:highlight w:val="white"/>
        </w:rPr>
        <w:lastRenderedPageBreak/>
        <w:t>Klein, Juan-Luis, Bernard Pecqueur, Kirsten Koop, Sid Ahmed Soussi. 2016. L’innovation locale à l’épreuve du global. Un défi pour les acteurs. Collection Géographie contemporaine. Québec : PUQ.</w:t>
      </w:r>
    </w:p>
    <w:p w14:paraId="00000022" w14:textId="77777777" w:rsidR="00F03FA9" w:rsidRPr="00D34F8E" w:rsidRDefault="00A271DF" w:rsidP="00D34F8E">
      <w:pPr>
        <w:spacing w:before="80" w:after="80" w:line="240" w:lineRule="auto"/>
        <w:ind w:left="566" w:hanging="570"/>
        <w:jc w:val="both"/>
        <w:rPr>
          <w:sz w:val="20"/>
          <w:szCs w:val="20"/>
          <w:highlight w:val="white"/>
        </w:rPr>
      </w:pPr>
      <w:proofErr w:type="spellStart"/>
      <w:r w:rsidRPr="00D34F8E">
        <w:rPr>
          <w:sz w:val="20"/>
          <w:szCs w:val="20"/>
          <w:highlight w:val="white"/>
        </w:rPr>
        <w:t>Lévesques</w:t>
      </w:r>
      <w:proofErr w:type="spellEnd"/>
      <w:r w:rsidRPr="00D34F8E">
        <w:rPr>
          <w:sz w:val="20"/>
          <w:szCs w:val="20"/>
          <w:highlight w:val="white"/>
        </w:rPr>
        <w:t xml:space="preserve"> Benoit, Fontan, Jean-Marc, Juan-Luis Klein. 2014. L’innovation sociale, les marches d’une construction théorique et pratique, Québec : PUQ.</w:t>
      </w:r>
    </w:p>
    <w:p w14:paraId="00000023" w14:textId="77777777" w:rsidR="00F03FA9" w:rsidRPr="00D34F8E" w:rsidRDefault="00A271DF" w:rsidP="00D34F8E">
      <w:pPr>
        <w:spacing w:before="80" w:after="80" w:line="240" w:lineRule="auto"/>
        <w:ind w:left="566" w:hanging="570"/>
        <w:jc w:val="both"/>
        <w:rPr>
          <w:sz w:val="20"/>
          <w:szCs w:val="20"/>
          <w:highlight w:val="white"/>
        </w:rPr>
      </w:pPr>
      <w:r w:rsidRPr="00D34F8E">
        <w:rPr>
          <w:sz w:val="20"/>
          <w:szCs w:val="20"/>
          <w:highlight w:val="white"/>
        </w:rPr>
        <w:t xml:space="preserve">Lafontaine, Danielle. 2017. « Aspects et effets territoriaux du Living </w:t>
      </w:r>
      <w:proofErr w:type="spellStart"/>
      <w:r w:rsidRPr="00D34F8E">
        <w:rPr>
          <w:sz w:val="20"/>
          <w:szCs w:val="20"/>
          <w:highlight w:val="white"/>
        </w:rPr>
        <w:t>Lab</w:t>
      </w:r>
      <w:proofErr w:type="spellEnd"/>
      <w:r w:rsidRPr="00D34F8E">
        <w:rPr>
          <w:sz w:val="20"/>
          <w:szCs w:val="20"/>
          <w:highlight w:val="white"/>
        </w:rPr>
        <w:t xml:space="preserve"> : une expérience hors métropole au Québec ». Canadian Journal of </w:t>
      </w:r>
      <w:proofErr w:type="spellStart"/>
      <w:r w:rsidRPr="00D34F8E">
        <w:rPr>
          <w:sz w:val="20"/>
          <w:szCs w:val="20"/>
          <w:highlight w:val="white"/>
        </w:rPr>
        <w:t>Regional</w:t>
      </w:r>
      <w:proofErr w:type="spellEnd"/>
      <w:r w:rsidRPr="00D34F8E">
        <w:rPr>
          <w:sz w:val="20"/>
          <w:szCs w:val="20"/>
          <w:highlight w:val="white"/>
        </w:rPr>
        <w:t xml:space="preserve"> Science / Revue canadienne des sciences régionales 40 (1): 23‑31.</w:t>
      </w:r>
    </w:p>
    <w:p w14:paraId="00000024" w14:textId="77777777" w:rsidR="00F03FA9" w:rsidRPr="00D34F8E" w:rsidRDefault="00A271DF" w:rsidP="00D34F8E">
      <w:pPr>
        <w:spacing w:before="80" w:after="80" w:line="240" w:lineRule="auto"/>
        <w:ind w:left="566" w:hanging="570"/>
        <w:jc w:val="both"/>
        <w:rPr>
          <w:sz w:val="20"/>
          <w:szCs w:val="20"/>
          <w:highlight w:val="white"/>
        </w:rPr>
      </w:pPr>
      <w:proofErr w:type="spellStart"/>
      <w:r w:rsidRPr="00D34F8E">
        <w:rPr>
          <w:sz w:val="20"/>
          <w:szCs w:val="20"/>
          <w:highlight w:val="white"/>
        </w:rPr>
        <w:t>Lallemend</w:t>
      </w:r>
      <w:proofErr w:type="spellEnd"/>
      <w:r w:rsidRPr="00D34F8E">
        <w:rPr>
          <w:sz w:val="20"/>
          <w:szCs w:val="20"/>
          <w:highlight w:val="white"/>
        </w:rPr>
        <w:t xml:space="preserve">, Michel. 2015. L’âge du faire - Hacking, travail, anarchie, Paris : Le seuil </w:t>
      </w:r>
    </w:p>
    <w:p w14:paraId="00000025" w14:textId="28500F10" w:rsidR="00F03FA9" w:rsidRPr="00D34F8E" w:rsidRDefault="00A271DF" w:rsidP="00D34F8E">
      <w:pPr>
        <w:spacing w:before="80" w:after="80" w:line="240" w:lineRule="auto"/>
        <w:ind w:left="566" w:hanging="570"/>
        <w:jc w:val="both"/>
        <w:rPr>
          <w:sz w:val="20"/>
          <w:szCs w:val="20"/>
          <w:highlight w:val="white"/>
          <w:lang w:val="en-CA"/>
        </w:rPr>
      </w:pPr>
      <w:r w:rsidRPr="00D34F8E">
        <w:rPr>
          <w:sz w:val="20"/>
          <w:szCs w:val="20"/>
          <w:highlight w:val="white"/>
          <w:lang w:val="en-CA"/>
        </w:rPr>
        <w:t xml:space="preserve">Murray, </w:t>
      </w:r>
      <w:proofErr w:type="spellStart"/>
      <w:r w:rsidRPr="00D34F8E">
        <w:rPr>
          <w:sz w:val="20"/>
          <w:szCs w:val="20"/>
          <w:highlight w:val="white"/>
          <w:lang w:val="en-CA"/>
        </w:rPr>
        <w:t>Caulier</w:t>
      </w:r>
      <w:proofErr w:type="spellEnd"/>
      <w:r w:rsidRPr="00D34F8E">
        <w:rPr>
          <w:sz w:val="20"/>
          <w:szCs w:val="20"/>
          <w:highlight w:val="white"/>
          <w:lang w:val="en-CA"/>
        </w:rPr>
        <w:t xml:space="preserve">-Grice, </w:t>
      </w:r>
      <w:proofErr w:type="spellStart"/>
      <w:r w:rsidRPr="00D34F8E">
        <w:rPr>
          <w:sz w:val="20"/>
          <w:szCs w:val="20"/>
          <w:highlight w:val="white"/>
          <w:lang w:val="en-CA"/>
        </w:rPr>
        <w:t>Mulgan</w:t>
      </w:r>
      <w:proofErr w:type="spellEnd"/>
      <w:r w:rsidRPr="00D34F8E">
        <w:rPr>
          <w:sz w:val="20"/>
          <w:szCs w:val="20"/>
          <w:highlight w:val="white"/>
          <w:lang w:val="en-CA"/>
        </w:rPr>
        <w:t xml:space="preserve">. 2010. </w:t>
      </w:r>
      <w:r w:rsidRPr="00D34F8E">
        <w:rPr>
          <w:i/>
          <w:sz w:val="20"/>
          <w:szCs w:val="20"/>
          <w:highlight w:val="white"/>
          <w:lang w:val="en-CA"/>
        </w:rPr>
        <w:t>The Open Book of social innovation</w:t>
      </w:r>
      <w:r w:rsidRPr="00D34F8E">
        <w:rPr>
          <w:sz w:val="20"/>
          <w:szCs w:val="20"/>
          <w:highlight w:val="white"/>
          <w:lang w:val="en-CA"/>
        </w:rPr>
        <w:t xml:space="preserve">, Dossier </w:t>
      </w:r>
      <w:proofErr w:type="spellStart"/>
      <w:r w:rsidRPr="00D34F8E">
        <w:rPr>
          <w:sz w:val="20"/>
          <w:szCs w:val="20"/>
          <w:highlight w:val="white"/>
          <w:lang w:val="en-CA"/>
        </w:rPr>
        <w:t>spécial</w:t>
      </w:r>
      <w:proofErr w:type="spellEnd"/>
      <w:r w:rsidRPr="00D34F8E">
        <w:rPr>
          <w:sz w:val="20"/>
          <w:szCs w:val="20"/>
          <w:highlight w:val="white"/>
          <w:lang w:val="en-CA"/>
        </w:rPr>
        <w:t xml:space="preserve"> The Young Foundation.</w:t>
      </w:r>
    </w:p>
    <w:p w14:paraId="225EA863" w14:textId="4D674515" w:rsidR="00D34F8E" w:rsidRPr="00D34F8E" w:rsidRDefault="00D34F8E" w:rsidP="00D34F8E">
      <w:pPr>
        <w:autoSpaceDE w:val="0"/>
        <w:autoSpaceDN w:val="0"/>
        <w:adjustRightInd w:val="0"/>
        <w:spacing w:line="240" w:lineRule="auto"/>
        <w:ind w:left="720" w:hanging="720"/>
        <w:jc w:val="both"/>
        <w:rPr>
          <w:sz w:val="20"/>
          <w:szCs w:val="20"/>
        </w:rPr>
      </w:pPr>
      <w:r w:rsidRPr="00D34F8E">
        <w:rPr>
          <w:sz w:val="20"/>
          <w:szCs w:val="20"/>
          <w:lang w:val="en-US"/>
        </w:rPr>
        <w:t xml:space="preserve">Ostrom, E. (1990). </w:t>
      </w:r>
      <w:r w:rsidRPr="00D34F8E">
        <w:rPr>
          <w:i/>
          <w:iCs/>
          <w:sz w:val="20"/>
          <w:szCs w:val="20"/>
          <w:lang w:val="en-US"/>
        </w:rPr>
        <w:t xml:space="preserve">Governing the </w:t>
      </w:r>
      <w:proofErr w:type="gramStart"/>
      <w:r w:rsidRPr="00D34F8E">
        <w:rPr>
          <w:i/>
          <w:iCs/>
          <w:sz w:val="20"/>
          <w:szCs w:val="20"/>
          <w:lang w:val="en-US"/>
        </w:rPr>
        <w:t>commons</w:t>
      </w:r>
      <w:proofErr w:type="gramEnd"/>
      <w:r w:rsidRPr="00D34F8E">
        <w:rPr>
          <w:i/>
          <w:iCs/>
          <w:sz w:val="20"/>
          <w:szCs w:val="20"/>
          <w:lang w:val="en-US"/>
        </w:rPr>
        <w:t xml:space="preserve"> the evolution of institutions for collective action</w:t>
      </w:r>
      <w:r w:rsidRPr="00D34F8E">
        <w:rPr>
          <w:sz w:val="20"/>
          <w:szCs w:val="20"/>
          <w:lang w:val="en-US"/>
        </w:rPr>
        <w:t xml:space="preserve">. </w:t>
      </w:r>
      <w:r w:rsidRPr="00D34F8E">
        <w:rPr>
          <w:sz w:val="20"/>
          <w:szCs w:val="20"/>
        </w:rPr>
        <w:t xml:space="preserve">Cambridge, Royaume-Uni : Cambridge </w:t>
      </w:r>
      <w:proofErr w:type="spellStart"/>
      <w:r w:rsidRPr="00D34F8E">
        <w:rPr>
          <w:sz w:val="20"/>
          <w:szCs w:val="20"/>
        </w:rPr>
        <w:t>University</w:t>
      </w:r>
      <w:proofErr w:type="spellEnd"/>
      <w:r w:rsidRPr="00D34F8E">
        <w:rPr>
          <w:sz w:val="20"/>
          <w:szCs w:val="20"/>
        </w:rPr>
        <w:t xml:space="preserve"> </w:t>
      </w:r>
      <w:proofErr w:type="spellStart"/>
      <w:r w:rsidRPr="00D34F8E">
        <w:rPr>
          <w:sz w:val="20"/>
          <w:szCs w:val="20"/>
        </w:rPr>
        <w:t>Press</w:t>
      </w:r>
      <w:proofErr w:type="spellEnd"/>
      <w:r w:rsidRPr="00D34F8E">
        <w:rPr>
          <w:sz w:val="20"/>
          <w:szCs w:val="20"/>
        </w:rPr>
        <w:t>.</w:t>
      </w:r>
    </w:p>
    <w:p w14:paraId="00000026" w14:textId="77777777" w:rsidR="00F03FA9" w:rsidRPr="00D34F8E" w:rsidRDefault="00A271DF" w:rsidP="00D34F8E">
      <w:pPr>
        <w:spacing w:before="80" w:after="80" w:line="240" w:lineRule="auto"/>
        <w:ind w:left="566" w:hanging="570"/>
        <w:jc w:val="both"/>
        <w:rPr>
          <w:sz w:val="20"/>
          <w:szCs w:val="20"/>
          <w:highlight w:val="white"/>
        </w:rPr>
      </w:pPr>
      <w:proofErr w:type="spellStart"/>
      <w:r w:rsidRPr="00D34F8E">
        <w:rPr>
          <w:sz w:val="20"/>
          <w:szCs w:val="20"/>
          <w:highlight w:val="white"/>
        </w:rPr>
        <w:t>Rumpala</w:t>
      </w:r>
      <w:proofErr w:type="spellEnd"/>
      <w:r w:rsidRPr="00D34F8E">
        <w:rPr>
          <w:sz w:val="20"/>
          <w:szCs w:val="20"/>
          <w:highlight w:val="white"/>
        </w:rPr>
        <w:t>, Yannick. 2014. « « </w:t>
      </w:r>
      <w:proofErr w:type="spellStart"/>
      <w:r w:rsidRPr="00D34F8E">
        <w:rPr>
          <w:sz w:val="20"/>
          <w:szCs w:val="20"/>
          <w:highlight w:val="white"/>
        </w:rPr>
        <w:t>Fab</w:t>
      </w:r>
      <w:proofErr w:type="spellEnd"/>
      <w:r w:rsidRPr="00D34F8E">
        <w:rPr>
          <w:sz w:val="20"/>
          <w:szCs w:val="20"/>
          <w:highlight w:val="white"/>
        </w:rPr>
        <w:t xml:space="preserve"> </w:t>
      </w:r>
      <w:proofErr w:type="spellStart"/>
      <w:r w:rsidRPr="00D34F8E">
        <w:rPr>
          <w:sz w:val="20"/>
          <w:szCs w:val="20"/>
          <w:highlight w:val="white"/>
        </w:rPr>
        <w:t>labs</w:t>
      </w:r>
      <w:proofErr w:type="spellEnd"/>
      <w:r w:rsidRPr="00D34F8E">
        <w:rPr>
          <w:sz w:val="20"/>
          <w:szCs w:val="20"/>
          <w:highlight w:val="white"/>
        </w:rPr>
        <w:t> », « </w:t>
      </w:r>
      <w:proofErr w:type="spellStart"/>
      <w:r w:rsidRPr="00D34F8E">
        <w:rPr>
          <w:sz w:val="20"/>
          <w:szCs w:val="20"/>
          <w:highlight w:val="white"/>
        </w:rPr>
        <w:t>makerspaces</w:t>
      </w:r>
      <w:proofErr w:type="spellEnd"/>
      <w:r w:rsidRPr="00D34F8E">
        <w:rPr>
          <w:sz w:val="20"/>
          <w:szCs w:val="20"/>
          <w:highlight w:val="white"/>
        </w:rPr>
        <w:t xml:space="preserve"> » : entre innovation et émancipation ? » Revue internationale de l’économie sociale : </w:t>
      </w:r>
      <w:proofErr w:type="spellStart"/>
      <w:r w:rsidRPr="00D34F8E">
        <w:rPr>
          <w:sz w:val="20"/>
          <w:szCs w:val="20"/>
          <w:highlight w:val="white"/>
        </w:rPr>
        <w:t>recma</w:t>
      </w:r>
      <w:proofErr w:type="spellEnd"/>
      <w:r w:rsidRPr="00D34F8E">
        <w:rPr>
          <w:sz w:val="20"/>
          <w:szCs w:val="20"/>
          <w:highlight w:val="white"/>
        </w:rPr>
        <w:t xml:space="preserve"> N° 334 (4): 85‑97.</w:t>
      </w:r>
    </w:p>
    <w:p w14:paraId="00000027" w14:textId="77777777" w:rsidR="00F03FA9" w:rsidRPr="00D34F8E" w:rsidRDefault="00A271DF" w:rsidP="00D34F8E">
      <w:pPr>
        <w:spacing w:before="80" w:after="80" w:line="240" w:lineRule="auto"/>
        <w:ind w:left="566" w:hanging="570"/>
        <w:jc w:val="both"/>
        <w:rPr>
          <w:color w:val="1155CC"/>
          <w:sz w:val="20"/>
          <w:szCs w:val="20"/>
          <w:highlight w:val="white"/>
          <w:u w:val="single"/>
        </w:rPr>
      </w:pPr>
      <w:r w:rsidRPr="00D34F8E">
        <w:rPr>
          <w:sz w:val="20"/>
          <w:szCs w:val="20"/>
          <w:highlight w:val="white"/>
        </w:rPr>
        <w:t>Scaillerez A., Tremblay D-G., (2017)</w:t>
      </w:r>
      <w:r w:rsidRPr="00D34F8E">
        <w:rPr>
          <w:i/>
          <w:sz w:val="20"/>
          <w:szCs w:val="20"/>
          <w:highlight w:val="white"/>
        </w:rPr>
        <w:t xml:space="preserve"> Coworking, </w:t>
      </w:r>
      <w:proofErr w:type="spellStart"/>
      <w:r w:rsidRPr="00D34F8E">
        <w:rPr>
          <w:i/>
          <w:sz w:val="20"/>
          <w:szCs w:val="20"/>
          <w:highlight w:val="white"/>
        </w:rPr>
        <w:t>fab</w:t>
      </w:r>
      <w:proofErr w:type="spellEnd"/>
      <w:r w:rsidRPr="00D34F8E">
        <w:rPr>
          <w:i/>
          <w:sz w:val="20"/>
          <w:szCs w:val="20"/>
          <w:highlight w:val="white"/>
        </w:rPr>
        <w:t xml:space="preserve"> </w:t>
      </w:r>
      <w:proofErr w:type="spellStart"/>
      <w:r w:rsidRPr="00D34F8E">
        <w:rPr>
          <w:i/>
          <w:sz w:val="20"/>
          <w:szCs w:val="20"/>
          <w:highlight w:val="white"/>
        </w:rPr>
        <w:t>labs</w:t>
      </w:r>
      <w:proofErr w:type="spellEnd"/>
      <w:r w:rsidRPr="00D34F8E">
        <w:rPr>
          <w:i/>
          <w:sz w:val="20"/>
          <w:szCs w:val="20"/>
          <w:highlight w:val="white"/>
        </w:rPr>
        <w:t xml:space="preserve"> et living </w:t>
      </w:r>
      <w:proofErr w:type="spellStart"/>
      <w:r w:rsidRPr="00D34F8E">
        <w:rPr>
          <w:i/>
          <w:sz w:val="20"/>
          <w:szCs w:val="20"/>
          <w:highlight w:val="white"/>
        </w:rPr>
        <w:t>labs</w:t>
      </w:r>
      <w:proofErr w:type="spellEnd"/>
      <w:r w:rsidRPr="00D34F8E">
        <w:rPr>
          <w:i/>
          <w:sz w:val="20"/>
          <w:szCs w:val="20"/>
          <w:highlight w:val="white"/>
        </w:rPr>
        <w:t>, État des connaissances sur les tiers-lieux</w:t>
      </w:r>
      <w:r w:rsidRPr="00D34F8E">
        <w:rPr>
          <w:sz w:val="20"/>
          <w:szCs w:val="20"/>
          <w:highlight w:val="white"/>
        </w:rPr>
        <w:t xml:space="preserve">, </w:t>
      </w:r>
      <w:r w:rsidRPr="00D34F8E">
        <w:rPr>
          <w:i/>
          <w:sz w:val="20"/>
          <w:szCs w:val="20"/>
          <w:highlight w:val="white"/>
        </w:rPr>
        <w:t xml:space="preserve">Territoire en mouvement Revue de géographie et aménagement </w:t>
      </w:r>
      <w:r w:rsidRPr="00D34F8E">
        <w:rPr>
          <w:sz w:val="20"/>
          <w:szCs w:val="20"/>
          <w:highlight w:val="white"/>
        </w:rPr>
        <w:t>[En ligne], 34 | 2017, mis en ligne le 16 juin 2017. URL :</w:t>
      </w:r>
      <w:hyperlink r:id="rId12">
        <w:r w:rsidRPr="00D34F8E">
          <w:rPr>
            <w:sz w:val="20"/>
            <w:szCs w:val="20"/>
            <w:highlight w:val="white"/>
          </w:rPr>
          <w:t xml:space="preserve"> </w:t>
        </w:r>
      </w:hyperlink>
      <w:hyperlink r:id="rId13">
        <w:r w:rsidRPr="00D34F8E">
          <w:rPr>
            <w:color w:val="1155CC"/>
            <w:sz w:val="20"/>
            <w:szCs w:val="20"/>
            <w:highlight w:val="white"/>
            <w:u w:val="single"/>
          </w:rPr>
          <w:t>http://tem.revues.org/4200</w:t>
        </w:r>
      </w:hyperlink>
    </w:p>
    <w:p w14:paraId="00000028" w14:textId="77777777" w:rsidR="00F03FA9" w:rsidRPr="00D34F8E" w:rsidRDefault="00A271DF" w:rsidP="00D34F8E">
      <w:pPr>
        <w:spacing w:before="80" w:after="80" w:line="240" w:lineRule="auto"/>
        <w:ind w:left="566" w:hanging="570"/>
        <w:jc w:val="both"/>
        <w:rPr>
          <w:sz w:val="20"/>
          <w:szCs w:val="20"/>
        </w:rPr>
      </w:pPr>
      <w:r w:rsidRPr="00D34F8E">
        <w:rPr>
          <w:sz w:val="20"/>
          <w:szCs w:val="20"/>
          <w:highlight w:val="white"/>
        </w:rPr>
        <w:t xml:space="preserve">Torre, André. 2018. « Les moteurs du développement territorial ». </w:t>
      </w:r>
      <w:r w:rsidRPr="00D34F8E">
        <w:rPr>
          <w:i/>
          <w:sz w:val="20"/>
          <w:szCs w:val="20"/>
          <w:highlight w:val="white"/>
        </w:rPr>
        <w:t>Revue d’Économie Régionale Urbaine</w:t>
      </w:r>
      <w:r w:rsidRPr="00D34F8E">
        <w:rPr>
          <w:sz w:val="20"/>
          <w:szCs w:val="20"/>
          <w:highlight w:val="white"/>
        </w:rPr>
        <w:t xml:space="preserve"> Octobre (4): 711‑36.</w:t>
      </w:r>
    </w:p>
    <w:p w14:paraId="00000029" w14:textId="77777777" w:rsidR="00F03FA9" w:rsidRDefault="00F03FA9"/>
    <w:sectPr w:rsidR="00F03FA9">
      <w:footerReference w:type="default" r:id="rId14"/>
      <w:footerReference w:type="first" r:id="rId15"/>
      <w:pgSz w:w="12240" w:h="15840"/>
      <w:pgMar w:top="1137" w:right="1137" w:bottom="1137" w:left="113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EA8D" w14:textId="77777777" w:rsidR="00FB3998" w:rsidRDefault="00FB3998">
      <w:pPr>
        <w:spacing w:line="240" w:lineRule="auto"/>
      </w:pPr>
      <w:r>
        <w:separator/>
      </w:r>
    </w:p>
  </w:endnote>
  <w:endnote w:type="continuationSeparator" w:id="0">
    <w:p w14:paraId="7557E769" w14:textId="77777777" w:rsidR="00FB3998" w:rsidRDefault="00FB3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677A3EC8" w:rsidR="00F03FA9" w:rsidRDefault="00A271DF">
    <w:pPr>
      <w:jc w:val="center"/>
      <w:rPr>
        <w:i/>
        <w:sz w:val="18"/>
        <w:szCs w:val="18"/>
      </w:rPr>
    </w:pPr>
    <w:r>
      <w:rPr>
        <w:i/>
        <w:sz w:val="18"/>
        <w:szCs w:val="18"/>
      </w:rPr>
      <w:t>Proposition de numéro spécial – Revue Interventions économiques</w:t>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t xml:space="preserve">       </w:t>
    </w:r>
    <w:r>
      <w:rPr>
        <w:i/>
        <w:sz w:val="18"/>
        <w:szCs w:val="18"/>
      </w:rPr>
      <w:fldChar w:fldCharType="begin"/>
    </w:r>
    <w:r>
      <w:rPr>
        <w:i/>
        <w:sz w:val="18"/>
        <w:szCs w:val="18"/>
      </w:rPr>
      <w:instrText>PAGE</w:instrText>
    </w:r>
    <w:r>
      <w:rPr>
        <w:i/>
        <w:sz w:val="18"/>
        <w:szCs w:val="18"/>
      </w:rPr>
      <w:fldChar w:fldCharType="separate"/>
    </w:r>
    <w:r>
      <w:rPr>
        <w:i/>
        <w:noProof/>
        <w:sz w:val="18"/>
        <w:szCs w:val="18"/>
      </w:rPr>
      <w:t>2</w:t>
    </w:r>
    <w:r>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153787D2" w:rsidR="00F03FA9" w:rsidRDefault="00A271D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CC90" w14:textId="77777777" w:rsidR="00FB3998" w:rsidRDefault="00FB3998">
      <w:pPr>
        <w:spacing w:line="240" w:lineRule="auto"/>
      </w:pPr>
      <w:r>
        <w:separator/>
      </w:r>
    </w:p>
  </w:footnote>
  <w:footnote w:type="continuationSeparator" w:id="0">
    <w:p w14:paraId="7A813377" w14:textId="77777777" w:rsidR="00FB3998" w:rsidRDefault="00FB39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6BFD"/>
    <w:multiLevelType w:val="multilevel"/>
    <w:tmpl w:val="3BFCC5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A9"/>
    <w:rsid w:val="000C6BDE"/>
    <w:rsid w:val="004E4140"/>
    <w:rsid w:val="006B0966"/>
    <w:rsid w:val="007104AA"/>
    <w:rsid w:val="0092444C"/>
    <w:rsid w:val="00A158E5"/>
    <w:rsid w:val="00A271DF"/>
    <w:rsid w:val="00A57286"/>
    <w:rsid w:val="00B251FC"/>
    <w:rsid w:val="00C301E0"/>
    <w:rsid w:val="00D34F8E"/>
    <w:rsid w:val="00F03FA9"/>
    <w:rsid w:val="00FB39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6036"/>
  <w15:docId w15:val="{BBB6B9DA-6A8D-406B-814F-E0580EA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4E4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Policepardfaut"/>
    <w:rsid w:val="004E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guimont@llio.quebec" TargetMode="External"/><Relationship Id="rId13" Type="http://schemas.openxmlformats.org/officeDocument/2006/relationships/hyperlink" Target="http://tem.revues.org/4200" TargetMode="External"/><Relationship Id="rId3" Type="http://schemas.openxmlformats.org/officeDocument/2006/relationships/settings" Target="settings.xml"/><Relationship Id="rId7" Type="http://schemas.openxmlformats.org/officeDocument/2006/relationships/hyperlink" Target="mailto:arnaud.scaillerez@umoncton.ca" TargetMode="External"/><Relationship Id="rId12" Type="http://schemas.openxmlformats.org/officeDocument/2006/relationships/hyperlink" Target="http://tem.revues.org/42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ses.uqam.ca/wp-content/uploads/2018/10/ET100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ises.uqam.ca/wp-content/uploads/2018/10/ET1003.pdf" TargetMode="External"/><Relationship Id="rId4" Type="http://schemas.openxmlformats.org/officeDocument/2006/relationships/webSettings" Target="webSettings.xml"/><Relationship Id="rId9" Type="http://schemas.openxmlformats.org/officeDocument/2006/relationships/hyperlink" Target="https://journals.openedition.org/interventionseconomiques/6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9174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REMY</dc:creator>
  <cp:lastModifiedBy>Carine REMY</cp:lastModifiedBy>
  <cp:revision>2</cp:revision>
  <dcterms:created xsi:type="dcterms:W3CDTF">2021-04-07T13:35:00Z</dcterms:created>
  <dcterms:modified xsi:type="dcterms:W3CDTF">2021-04-07T13:35:00Z</dcterms:modified>
</cp:coreProperties>
</file>